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16275" w14:textId="77777777" w:rsidR="00A236CF" w:rsidRDefault="003A15E8" w:rsidP="003A15E8">
      <w:pPr>
        <w:jc w:val="center"/>
        <w:rPr>
          <w:rFonts w:ascii="Calibri" w:hAnsi="Calibri" w:cs="Calibri"/>
          <w:b/>
          <w:sz w:val="28"/>
          <w:szCs w:val="28"/>
        </w:rPr>
      </w:pPr>
      <w:r>
        <w:rPr>
          <w:noProof/>
          <w:lang w:val="en-US" w:eastAsia="en-US"/>
        </w:rPr>
        <w:drawing>
          <wp:inline distT="0" distB="0" distL="0" distR="0" wp14:anchorId="1C0FFD41" wp14:editId="2C736987">
            <wp:extent cx="2240280" cy="426720"/>
            <wp:effectExtent l="0" t="0" r="7620" b="0"/>
            <wp:docPr id="3" name="Picture 3" descr="Door of H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or of Hop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0280" cy="426720"/>
                    </a:xfrm>
                    <a:prstGeom prst="rect">
                      <a:avLst/>
                    </a:prstGeom>
                    <a:noFill/>
                    <a:ln>
                      <a:noFill/>
                    </a:ln>
                  </pic:spPr>
                </pic:pic>
              </a:graphicData>
            </a:graphic>
          </wp:inline>
        </w:drawing>
      </w:r>
      <w:r>
        <w:rPr>
          <w:noProof/>
          <w:lang w:val="en-US" w:eastAsia="en-US"/>
        </w:rPr>
        <w:drawing>
          <wp:inline distT="0" distB="0" distL="0" distR="0" wp14:anchorId="62A41B62" wp14:editId="4CBB7969">
            <wp:extent cx="1211580" cy="419100"/>
            <wp:effectExtent l="0" t="0" r="7620" b="0"/>
            <wp:docPr id="2" name="Picture 2" descr="B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419100"/>
                    </a:xfrm>
                    <a:prstGeom prst="rect">
                      <a:avLst/>
                    </a:prstGeom>
                    <a:noFill/>
                    <a:ln>
                      <a:noFill/>
                    </a:ln>
                  </pic:spPr>
                </pic:pic>
              </a:graphicData>
            </a:graphic>
          </wp:inline>
        </w:drawing>
      </w:r>
    </w:p>
    <w:p w14:paraId="7EAAE509" w14:textId="77777777" w:rsidR="00A236CF" w:rsidRDefault="00A236CF">
      <w:pPr>
        <w:rPr>
          <w:rFonts w:ascii="Calibri" w:hAnsi="Calibri" w:cs="Calibri"/>
          <w:b/>
          <w:sz w:val="28"/>
          <w:szCs w:val="28"/>
        </w:rPr>
      </w:pPr>
    </w:p>
    <w:p w14:paraId="7D2195DC" w14:textId="77777777" w:rsidR="00A236CF" w:rsidRDefault="00A236CF">
      <w:pPr>
        <w:rPr>
          <w:rFonts w:ascii="Calibri" w:hAnsi="Calibri" w:cs="Calibri"/>
          <w:b/>
          <w:sz w:val="28"/>
          <w:szCs w:val="28"/>
        </w:rPr>
      </w:pPr>
    </w:p>
    <w:p w14:paraId="0C7F0D97" w14:textId="19DC36BD" w:rsidR="00A236CF" w:rsidRDefault="000D7062" w:rsidP="000D7062">
      <w:pPr>
        <w:jc w:val="center"/>
        <w:rPr>
          <w:rFonts w:ascii="Calibri" w:hAnsi="Calibri" w:cs="Calibri"/>
          <w:b/>
          <w:sz w:val="28"/>
          <w:szCs w:val="28"/>
        </w:rPr>
      </w:pPr>
      <w:r w:rsidRPr="00AA3329">
        <w:rPr>
          <w:b/>
          <w:noProof/>
        </w:rPr>
        <w:drawing>
          <wp:inline distT="0" distB="0" distL="0" distR="0" wp14:anchorId="4267FC91" wp14:editId="73763BAC">
            <wp:extent cx="889000" cy="603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00" cy="603250"/>
                    </a:xfrm>
                    <a:prstGeom prst="rect">
                      <a:avLst/>
                    </a:prstGeom>
                    <a:noFill/>
                    <a:ln>
                      <a:noFill/>
                    </a:ln>
                  </pic:spPr>
                </pic:pic>
              </a:graphicData>
            </a:graphic>
          </wp:inline>
        </w:drawing>
      </w:r>
    </w:p>
    <w:p w14:paraId="0139064B" w14:textId="77777777" w:rsidR="003A15E8" w:rsidRDefault="003A15E8">
      <w:pPr>
        <w:rPr>
          <w:rFonts w:ascii="Calibri" w:hAnsi="Calibri" w:cs="Calibri"/>
          <w:b/>
          <w:sz w:val="28"/>
          <w:szCs w:val="28"/>
        </w:rPr>
      </w:pPr>
    </w:p>
    <w:p w14:paraId="03B313B6" w14:textId="77777777" w:rsidR="003A15E8" w:rsidRDefault="003A15E8">
      <w:pPr>
        <w:rPr>
          <w:rFonts w:ascii="Calibri" w:hAnsi="Calibri" w:cs="Calibri"/>
          <w:b/>
          <w:sz w:val="28"/>
          <w:szCs w:val="28"/>
        </w:rPr>
      </w:pPr>
    </w:p>
    <w:p w14:paraId="0807E3E5" w14:textId="77777777" w:rsidR="003A15E8" w:rsidRDefault="003A15E8">
      <w:pPr>
        <w:rPr>
          <w:rFonts w:ascii="Calibri" w:hAnsi="Calibri" w:cs="Calibri"/>
          <w:b/>
          <w:sz w:val="28"/>
          <w:szCs w:val="28"/>
        </w:rPr>
      </w:pPr>
    </w:p>
    <w:p w14:paraId="31BE7EB3" w14:textId="77777777" w:rsidR="003A15E8" w:rsidRDefault="003A15E8">
      <w:pPr>
        <w:rPr>
          <w:rFonts w:ascii="Calibri" w:hAnsi="Calibri" w:cs="Calibri"/>
          <w:b/>
          <w:sz w:val="28"/>
          <w:szCs w:val="28"/>
        </w:rPr>
      </w:pPr>
    </w:p>
    <w:p w14:paraId="740F5D91" w14:textId="77777777" w:rsidR="00A236CF" w:rsidRPr="003A15E8" w:rsidRDefault="00A236CF" w:rsidP="00E14095">
      <w:pPr>
        <w:jc w:val="center"/>
        <w:rPr>
          <w:rFonts w:ascii="Calibri" w:hAnsi="Calibri" w:cs="Calibri"/>
          <w:b/>
          <w:color w:val="008080"/>
          <w:sz w:val="56"/>
          <w:szCs w:val="56"/>
        </w:rPr>
      </w:pPr>
      <w:r w:rsidRPr="003A15E8">
        <w:rPr>
          <w:rFonts w:ascii="Calibri" w:hAnsi="Calibri" w:cs="Calibri"/>
          <w:b/>
          <w:color w:val="008080"/>
          <w:sz w:val="56"/>
          <w:szCs w:val="56"/>
        </w:rPr>
        <w:t>Tower Hamlets’ Prostitution Partnership</w:t>
      </w:r>
    </w:p>
    <w:p w14:paraId="0C856D1A" w14:textId="77777777" w:rsidR="00A236CF" w:rsidRPr="00E14095" w:rsidRDefault="00A236CF" w:rsidP="00E14095">
      <w:pPr>
        <w:jc w:val="center"/>
        <w:rPr>
          <w:rFonts w:ascii="Calibri" w:hAnsi="Calibri" w:cs="Calibri"/>
          <w:b/>
          <w:sz w:val="56"/>
          <w:szCs w:val="56"/>
        </w:rPr>
      </w:pPr>
    </w:p>
    <w:p w14:paraId="75B747CC" w14:textId="568345EB" w:rsidR="00A236CF" w:rsidRDefault="00A236CF" w:rsidP="00E14095">
      <w:pPr>
        <w:jc w:val="center"/>
        <w:rPr>
          <w:rFonts w:ascii="Calibri" w:hAnsi="Calibri" w:cs="Calibri"/>
          <w:b/>
          <w:sz w:val="56"/>
          <w:szCs w:val="56"/>
        </w:rPr>
      </w:pPr>
      <w:r>
        <w:rPr>
          <w:rFonts w:ascii="Calibri" w:hAnsi="Calibri" w:cs="Calibri"/>
          <w:b/>
          <w:sz w:val="56"/>
          <w:szCs w:val="56"/>
        </w:rPr>
        <w:t>Operating Protocol</w:t>
      </w:r>
    </w:p>
    <w:p w14:paraId="134A56A5" w14:textId="77777777" w:rsidR="00A236CF" w:rsidRDefault="00A236CF" w:rsidP="00E14095">
      <w:pPr>
        <w:jc w:val="center"/>
        <w:rPr>
          <w:rFonts w:ascii="Calibri" w:hAnsi="Calibri" w:cs="Calibri"/>
          <w:b/>
          <w:sz w:val="56"/>
          <w:szCs w:val="56"/>
        </w:rPr>
      </w:pPr>
    </w:p>
    <w:p w14:paraId="1C5D2ABE" w14:textId="77777777" w:rsidR="00605E4C" w:rsidRDefault="00A236CF" w:rsidP="00910DCE">
      <w:pPr>
        <w:rPr>
          <w:rFonts w:ascii="Calibri" w:hAnsi="Calibri" w:cs="Calibri"/>
          <w:b/>
          <w:sz w:val="56"/>
          <w:szCs w:val="56"/>
        </w:rPr>
      </w:pPr>
      <w:r>
        <w:rPr>
          <w:rFonts w:ascii="Calibri" w:hAnsi="Calibri" w:cs="Calibri"/>
          <w:b/>
          <w:sz w:val="56"/>
          <w:szCs w:val="56"/>
        </w:rPr>
        <w:br w:type="page"/>
      </w:r>
    </w:p>
    <w:p w14:paraId="78FB93B6" w14:textId="77777777" w:rsidR="00605E4C" w:rsidRDefault="00605E4C" w:rsidP="00910DCE">
      <w:pPr>
        <w:rPr>
          <w:rFonts w:ascii="Calibri" w:hAnsi="Calibri" w:cs="Calibri"/>
          <w:b/>
          <w:sz w:val="56"/>
          <w:szCs w:val="56"/>
        </w:rPr>
      </w:pPr>
    </w:p>
    <w:p w14:paraId="25EAC365" w14:textId="3D3D6FEC" w:rsidR="00A236CF" w:rsidRPr="00910DCE" w:rsidRDefault="00A236CF" w:rsidP="00910DCE">
      <w:pPr>
        <w:rPr>
          <w:rFonts w:ascii="Calibri" w:hAnsi="Calibri" w:cs="Calibri"/>
          <w:b/>
          <w:sz w:val="56"/>
          <w:szCs w:val="56"/>
        </w:rPr>
      </w:pPr>
      <w:r w:rsidRPr="003A15E8">
        <w:rPr>
          <w:rFonts w:ascii="Calibri" w:hAnsi="Calibri" w:cs="Calibri"/>
          <w:b/>
          <w:color w:val="008080"/>
        </w:rPr>
        <w:t>Contents</w:t>
      </w:r>
    </w:p>
    <w:p w14:paraId="3A56D029" w14:textId="77777777" w:rsidR="00A236CF" w:rsidRDefault="00A236CF">
      <w:pPr>
        <w:rPr>
          <w:rFonts w:ascii="Calibri" w:hAnsi="Calibri" w:cs="Calibri"/>
        </w:rPr>
      </w:pPr>
    </w:p>
    <w:tbl>
      <w:tblPr>
        <w:tblW w:w="0" w:type="auto"/>
        <w:tblLook w:val="00A0" w:firstRow="1" w:lastRow="0" w:firstColumn="1" w:lastColumn="0" w:noHBand="0" w:noVBand="0"/>
      </w:tblPr>
      <w:tblGrid>
        <w:gridCol w:w="7621"/>
        <w:gridCol w:w="901"/>
      </w:tblGrid>
      <w:tr w:rsidR="00A236CF" w14:paraId="7B0CDD1F" w14:textId="77777777" w:rsidTr="009C5CA1">
        <w:tc>
          <w:tcPr>
            <w:tcW w:w="7621" w:type="dxa"/>
          </w:tcPr>
          <w:p w14:paraId="2F7C7FE6" w14:textId="77777777" w:rsidR="00A236CF" w:rsidRPr="009C5CA1" w:rsidRDefault="00A236CF">
            <w:pPr>
              <w:rPr>
                <w:rFonts w:ascii="Calibri" w:hAnsi="Calibri" w:cs="Calibri"/>
              </w:rPr>
            </w:pPr>
            <w:r w:rsidRPr="009C5CA1">
              <w:rPr>
                <w:rFonts w:ascii="Calibri" w:hAnsi="Calibri" w:cs="Calibri"/>
                <w:sz w:val="22"/>
                <w:szCs w:val="22"/>
              </w:rPr>
              <w:t>Introduction</w:t>
            </w:r>
          </w:p>
          <w:p w14:paraId="56436D93" w14:textId="77777777" w:rsidR="00A236CF" w:rsidRPr="009C5CA1" w:rsidRDefault="00A236CF">
            <w:pPr>
              <w:rPr>
                <w:rFonts w:ascii="Calibri" w:hAnsi="Calibri" w:cs="Calibri"/>
              </w:rPr>
            </w:pPr>
          </w:p>
        </w:tc>
        <w:tc>
          <w:tcPr>
            <w:tcW w:w="901" w:type="dxa"/>
          </w:tcPr>
          <w:p w14:paraId="73CF8421" w14:textId="77777777" w:rsidR="00A236CF" w:rsidRPr="009C5CA1" w:rsidRDefault="00A236CF">
            <w:pPr>
              <w:rPr>
                <w:rFonts w:ascii="Calibri" w:hAnsi="Calibri" w:cs="Calibri"/>
              </w:rPr>
            </w:pPr>
            <w:r w:rsidRPr="009C5CA1">
              <w:rPr>
                <w:rFonts w:ascii="Calibri" w:hAnsi="Calibri" w:cs="Calibri"/>
              </w:rPr>
              <w:t>3</w:t>
            </w:r>
          </w:p>
        </w:tc>
      </w:tr>
      <w:tr w:rsidR="00A236CF" w14:paraId="0FF3325A" w14:textId="77777777" w:rsidTr="009C5CA1">
        <w:tc>
          <w:tcPr>
            <w:tcW w:w="7621" w:type="dxa"/>
          </w:tcPr>
          <w:p w14:paraId="378BE746" w14:textId="77777777" w:rsidR="00A236CF" w:rsidRPr="009C5CA1" w:rsidRDefault="00A236CF">
            <w:pPr>
              <w:rPr>
                <w:rFonts w:ascii="Calibri" w:hAnsi="Calibri" w:cs="Calibri"/>
              </w:rPr>
            </w:pPr>
            <w:r w:rsidRPr="009C5CA1">
              <w:rPr>
                <w:rFonts w:ascii="Calibri" w:hAnsi="Calibri" w:cs="Calibri"/>
                <w:sz w:val="22"/>
                <w:szCs w:val="22"/>
              </w:rPr>
              <w:t>Aims</w:t>
            </w:r>
          </w:p>
          <w:p w14:paraId="0D342965" w14:textId="77777777" w:rsidR="00A236CF" w:rsidRPr="009C5CA1" w:rsidRDefault="00A236CF">
            <w:pPr>
              <w:rPr>
                <w:rFonts w:ascii="Calibri" w:hAnsi="Calibri" w:cs="Calibri"/>
              </w:rPr>
            </w:pPr>
          </w:p>
        </w:tc>
        <w:tc>
          <w:tcPr>
            <w:tcW w:w="901" w:type="dxa"/>
          </w:tcPr>
          <w:p w14:paraId="2524CDAD" w14:textId="77777777" w:rsidR="00A236CF" w:rsidRPr="009C5CA1" w:rsidRDefault="00A236CF">
            <w:pPr>
              <w:rPr>
                <w:rFonts w:ascii="Calibri" w:hAnsi="Calibri" w:cs="Calibri"/>
              </w:rPr>
            </w:pPr>
            <w:r w:rsidRPr="009C5CA1">
              <w:rPr>
                <w:rFonts w:ascii="Calibri" w:hAnsi="Calibri" w:cs="Calibri"/>
              </w:rPr>
              <w:t>3</w:t>
            </w:r>
          </w:p>
        </w:tc>
      </w:tr>
      <w:tr w:rsidR="00A236CF" w14:paraId="36B83D93" w14:textId="77777777" w:rsidTr="009C5CA1">
        <w:tc>
          <w:tcPr>
            <w:tcW w:w="7621" w:type="dxa"/>
          </w:tcPr>
          <w:p w14:paraId="7FDF6BA0" w14:textId="77777777" w:rsidR="00A236CF" w:rsidRPr="009C5CA1" w:rsidRDefault="00A236CF">
            <w:pPr>
              <w:rPr>
                <w:rFonts w:ascii="Calibri" w:hAnsi="Calibri" w:cs="Calibri"/>
              </w:rPr>
            </w:pPr>
            <w:r w:rsidRPr="009C5CA1">
              <w:rPr>
                <w:rFonts w:ascii="Calibri" w:hAnsi="Calibri" w:cs="Calibri"/>
                <w:sz w:val="22"/>
                <w:szCs w:val="22"/>
              </w:rPr>
              <w:t>Membership of the THPP</w:t>
            </w:r>
          </w:p>
          <w:p w14:paraId="3930DD86" w14:textId="77777777" w:rsidR="00A236CF" w:rsidRPr="009C5CA1" w:rsidRDefault="00A236CF">
            <w:pPr>
              <w:rPr>
                <w:rFonts w:ascii="Calibri" w:hAnsi="Calibri" w:cs="Calibri"/>
              </w:rPr>
            </w:pPr>
          </w:p>
        </w:tc>
        <w:tc>
          <w:tcPr>
            <w:tcW w:w="901" w:type="dxa"/>
          </w:tcPr>
          <w:p w14:paraId="22AF3606" w14:textId="77777777" w:rsidR="00A236CF" w:rsidRPr="009C5CA1" w:rsidRDefault="00A236CF">
            <w:pPr>
              <w:rPr>
                <w:rFonts w:ascii="Calibri" w:hAnsi="Calibri" w:cs="Calibri"/>
              </w:rPr>
            </w:pPr>
            <w:r w:rsidRPr="009C5CA1">
              <w:rPr>
                <w:rFonts w:ascii="Calibri" w:hAnsi="Calibri" w:cs="Calibri"/>
              </w:rPr>
              <w:t>3</w:t>
            </w:r>
          </w:p>
        </w:tc>
      </w:tr>
      <w:tr w:rsidR="00A236CF" w14:paraId="7FC0CD00" w14:textId="77777777" w:rsidTr="009C5CA1">
        <w:tc>
          <w:tcPr>
            <w:tcW w:w="7621" w:type="dxa"/>
          </w:tcPr>
          <w:p w14:paraId="551F0F7C" w14:textId="77777777" w:rsidR="00A236CF" w:rsidRPr="009C5CA1" w:rsidRDefault="00A236CF">
            <w:pPr>
              <w:rPr>
                <w:rFonts w:ascii="Calibri" w:hAnsi="Calibri" w:cs="Calibri"/>
              </w:rPr>
            </w:pPr>
            <w:r w:rsidRPr="009C5CA1">
              <w:rPr>
                <w:rFonts w:ascii="Calibri" w:hAnsi="Calibri" w:cs="Calibri"/>
                <w:sz w:val="22"/>
                <w:szCs w:val="22"/>
              </w:rPr>
              <w:t>Members’ Responsibility</w:t>
            </w:r>
          </w:p>
          <w:p w14:paraId="23A1F525" w14:textId="77777777" w:rsidR="00A236CF" w:rsidRPr="009C5CA1" w:rsidRDefault="00A236CF">
            <w:pPr>
              <w:rPr>
                <w:rFonts w:ascii="Calibri" w:hAnsi="Calibri" w:cs="Calibri"/>
              </w:rPr>
            </w:pPr>
          </w:p>
        </w:tc>
        <w:tc>
          <w:tcPr>
            <w:tcW w:w="901" w:type="dxa"/>
          </w:tcPr>
          <w:p w14:paraId="174651E7" w14:textId="77777777" w:rsidR="00A236CF" w:rsidRPr="009C5CA1" w:rsidRDefault="00A236CF">
            <w:pPr>
              <w:rPr>
                <w:rFonts w:ascii="Calibri" w:hAnsi="Calibri" w:cs="Calibri"/>
              </w:rPr>
            </w:pPr>
            <w:r w:rsidRPr="009C5CA1">
              <w:rPr>
                <w:rFonts w:ascii="Calibri" w:hAnsi="Calibri" w:cs="Calibri"/>
              </w:rPr>
              <w:t>4</w:t>
            </w:r>
          </w:p>
        </w:tc>
      </w:tr>
      <w:tr w:rsidR="00A236CF" w14:paraId="6B34D8FF" w14:textId="77777777" w:rsidTr="009C5CA1">
        <w:tc>
          <w:tcPr>
            <w:tcW w:w="7621" w:type="dxa"/>
          </w:tcPr>
          <w:p w14:paraId="22858126" w14:textId="77777777" w:rsidR="00A236CF" w:rsidRPr="009C5CA1" w:rsidRDefault="00A236CF">
            <w:pPr>
              <w:rPr>
                <w:rFonts w:ascii="Calibri" w:hAnsi="Calibri" w:cs="Calibri"/>
              </w:rPr>
            </w:pPr>
            <w:r w:rsidRPr="009C5CA1">
              <w:rPr>
                <w:rFonts w:ascii="Calibri" w:hAnsi="Calibri" w:cs="Calibri"/>
                <w:sz w:val="22"/>
                <w:szCs w:val="22"/>
              </w:rPr>
              <w:t>Attendance by other professionals</w:t>
            </w:r>
          </w:p>
          <w:p w14:paraId="76B843ED" w14:textId="77777777" w:rsidR="00A236CF" w:rsidRPr="009C5CA1" w:rsidRDefault="00A236CF">
            <w:pPr>
              <w:rPr>
                <w:rFonts w:ascii="Calibri" w:hAnsi="Calibri" w:cs="Calibri"/>
              </w:rPr>
            </w:pPr>
          </w:p>
        </w:tc>
        <w:tc>
          <w:tcPr>
            <w:tcW w:w="901" w:type="dxa"/>
          </w:tcPr>
          <w:p w14:paraId="1612D2FC" w14:textId="77777777" w:rsidR="00A236CF" w:rsidRPr="009C5CA1" w:rsidRDefault="00A236CF">
            <w:pPr>
              <w:rPr>
                <w:rFonts w:ascii="Calibri" w:hAnsi="Calibri" w:cs="Calibri"/>
              </w:rPr>
            </w:pPr>
            <w:r w:rsidRPr="009C5CA1">
              <w:rPr>
                <w:rFonts w:ascii="Calibri" w:hAnsi="Calibri" w:cs="Calibri"/>
              </w:rPr>
              <w:t>4</w:t>
            </w:r>
          </w:p>
        </w:tc>
      </w:tr>
      <w:tr w:rsidR="00A236CF" w14:paraId="3969589B" w14:textId="77777777" w:rsidTr="009C5CA1">
        <w:tc>
          <w:tcPr>
            <w:tcW w:w="7621" w:type="dxa"/>
          </w:tcPr>
          <w:p w14:paraId="6575AB77" w14:textId="0E33E53A" w:rsidR="00A236CF" w:rsidRPr="009C5CA1" w:rsidRDefault="00DC0A61">
            <w:pPr>
              <w:rPr>
                <w:rFonts w:ascii="Calibri" w:hAnsi="Calibri" w:cs="Calibri"/>
              </w:rPr>
            </w:pPr>
            <w:r>
              <w:rPr>
                <w:rFonts w:ascii="Calibri" w:hAnsi="Calibri" w:cs="Calibri"/>
                <w:sz w:val="22"/>
                <w:szCs w:val="22"/>
              </w:rPr>
              <w:t xml:space="preserve">Attendance by those referred </w:t>
            </w:r>
            <w:r w:rsidR="00A236CF" w:rsidRPr="009C5CA1">
              <w:rPr>
                <w:rFonts w:ascii="Calibri" w:hAnsi="Calibri" w:cs="Calibri"/>
                <w:sz w:val="22"/>
                <w:szCs w:val="22"/>
              </w:rPr>
              <w:t xml:space="preserve">and/or their </w:t>
            </w:r>
            <w:proofErr w:type="gramStart"/>
            <w:r w:rsidR="00A236CF" w:rsidRPr="009C5CA1">
              <w:rPr>
                <w:rFonts w:ascii="Calibri" w:hAnsi="Calibri" w:cs="Calibri"/>
                <w:sz w:val="22"/>
                <w:szCs w:val="22"/>
              </w:rPr>
              <w:t>families</w:t>
            </w:r>
            <w:proofErr w:type="gramEnd"/>
          </w:p>
          <w:p w14:paraId="6E3FE5BF" w14:textId="77777777" w:rsidR="00A236CF" w:rsidRPr="009C5CA1" w:rsidRDefault="00A236CF">
            <w:pPr>
              <w:rPr>
                <w:rFonts w:ascii="Calibri" w:hAnsi="Calibri" w:cs="Calibri"/>
              </w:rPr>
            </w:pPr>
          </w:p>
        </w:tc>
        <w:tc>
          <w:tcPr>
            <w:tcW w:w="901" w:type="dxa"/>
          </w:tcPr>
          <w:p w14:paraId="245DB159" w14:textId="77777777" w:rsidR="00A236CF" w:rsidRPr="009C5CA1" w:rsidRDefault="00A236CF">
            <w:pPr>
              <w:rPr>
                <w:rFonts w:ascii="Calibri" w:hAnsi="Calibri" w:cs="Calibri"/>
              </w:rPr>
            </w:pPr>
            <w:r w:rsidRPr="009C5CA1">
              <w:rPr>
                <w:rFonts w:ascii="Calibri" w:hAnsi="Calibri" w:cs="Calibri"/>
              </w:rPr>
              <w:t>4</w:t>
            </w:r>
          </w:p>
        </w:tc>
      </w:tr>
      <w:tr w:rsidR="00A236CF" w14:paraId="29B5A78D" w14:textId="77777777" w:rsidTr="009C5CA1">
        <w:tc>
          <w:tcPr>
            <w:tcW w:w="7621" w:type="dxa"/>
          </w:tcPr>
          <w:p w14:paraId="197911C5" w14:textId="77777777" w:rsidR="00A236CF" w:rsidRPr="009C5CA1" w:rsidRDefault="00A236CF">
            <w:pPr>
              <w:rPr>
                <w:rFonts w:ascii="Calibri" w:hAnsi="Calibri" w:cs="Calibri"/>
              </w:rPr>
            </w:pPr>
            <w:r w:rsidRPr="009C5CA1">
              <w:rPr>
                <w:rFonts w:ascii="Calibri" w:hAnsi="Calibri" w:cs="Calibri"/>
                <w:sz w:val="22"/>
                <w:szCs w:val="22"/>
              </w:rPr>
              <w:t>Referral Criteria for the THPP</w:t>
            </w:r>
          </w:p>
          <w:p w14:paraId="54AB75C7" w14:textId="77777777" w:rsidR="00A236CF" w:rsidRPr="009C5CA1" w:rsidRDefault="00A236CF">
            <w:pPr>
              <w:rPr>
                <w:rFonts w:ascii="Calibri" w:hAnsi="Calibri" w:cs="Calibri"/>
              </w:rPr>
            </w:pPr>
          </w:p>
        </w:tc>
        <w:tc>
          <w:tcPr>
            <w:tcW w:w="901" w:type="dxa"/>
          </w:tcPr>
          <w:p w14:paraId="50D22A82" w14:textId="77777777" w:rsidR="00A236CF" w:rsidRPr="009C5CA1" w:rsidRDefault="00A236CF">
            <w:pPr>
              <w:rPr>
                <w:rFonts w:ascii="Calibri" w:hAnsi="Calibri" w:cs="Calibri"/>
              </w:rPr>
            </w:pPr>
            <w:r w:rsidRPr="009C5CA1">
              <w:rPr>
                <w:rFonts w:ascii="Calibri" w:hAnsi="Calibri" w:cs="Calibri"/>
              </w:rPr>
              <w:t>4</w:t>
            </w:r>
          </w:p>
        </w:tc>
      </w:tr>
      <w:tr w:rsidR="00A236CF" w14:paraId="72358FC1" w14:textId="77777777" w:rsidTr="009C5CA1">
        <w:tc>
          <w:tcPr>
            <w:tcW w:w="7621" w:type="dxa"/>
          </w:tcPr>
          <w:p w14:paraId="38E99C66" w14:textId="77777777" w:rsidR="00A236CF" w:rsidRPr="009C5CA1" w:rsidRDefault="00A236CF" w:rsidP="00086B20">
            <w:pPr>
              <w:rPr>
                <w:rFonts w:ascii="Calibri" w:hAnsi="Calibri" w:cs="Calibri"/>
              </w:rPr>
            </w:pPr>
            <w:r w:rsidRPr="009C5CA1">
              <w:rPr>
                <w:rFonts w:ascii="Calibri" w:hAnsi="Calibri" w:cs="Calibri"/>
                <w:sz w:val="22"/>
                <w:szCs w:val="22"/>
              </w:rPr>
              <w:t>Referral to the THPP</w:t>
            </w:r>
          </w:p>
          <w:p w14:paraId="7521B62A" w14:textId="77777777" w:rsidR="00A236CF" w:rsidRPr="009C5CA1" w:rsidRDefault="00A236CF" w:rsidP="00086B20">
            <w:pPr>
              <w:rPr>
                <w:rFonts w:ascii="Calibri" w:hAnsi="Calibri" w:cs="Calibri"/>
              </w:rPr>
            </w:pPr>
          </w:p>
        </w:tc>
        <w:tc>
          <w:tcPr>
            <w:tcW w:w="901" w:type="dxa"/>
          </w:tcPr>
          <w:p w14:paraId="2956638B" w14:textId="77777777" w:rsidR="00A236CF" w:rsidRPr="009C5CA1" w:rsidRDefault="00A236CF">
            <w:pPr>
              <w:rPr>
                <w:rFonts w:ascii="Calibri" w:hAnsi="Calibri" w:cs="Calibri"/>
              </w:rPr>
            </w:pPr>
            <w:r w:rsidRPr="009C5CA1">
              <w:rPr>
                <w:rFonts w:ascii="Calibri" w:hAnsi="Calibri" w:cs="Calibri"/>
              </w:rPr>
              <w:t>5</w:t>
            </w:r>
          </w:p>
        </w:tc>
      </w:tr>
      <w:tr w:rsidR="00A236CF" w14:paraId="41006D6B" w14:textId="77777777" w:rsidTr="009C5CA1">
        <w:tc>
          <w:tcPr>
            <w:tcW w:w="7621" w:type="dxa"/>
          </w:tcPr>
          <w:p w14:paraId="0BD8CB2A" w14:textId="77777777" w:rsidR="00A236CF" w:rsidRPr="009C5CA1" w:rsidRDefault="00A236CF" w:rsidP="00086B20">
            <w:pPr>
              <w:rPr>
                <w:rFonts w:ascii="Calibri" w:hAnsi="Calibri" w:cs="Calibri"/>
              </w:rPr>
            </w:pPr>
            <w:r w:rsidRPr="009C5CA1">
              <w:rPr>
                <w:rFonts w:ascii="Calibri" w:hAnsi="Calibri" w:cs="Calibri"/>
                <w:sz w:val="22"/>
                <w:szCs w:val="22"/>
              </w:rPr>
              <w:t>Re-referrals to the THPP</w:t>
            </w:r>
          </w:p>
          <w:p w14:paraId="16F6BB0A" w14:textId="77777777" w:rsidR="00A236CF" w:rsidRPr="009C5CA1" w:rsidRDefault="00A236CF" w:rsidP="00086B20">
            <w:pPr>
              <w:rPr>
                <w:rFonts w:ascii="Calibri" w:hAnsi="Calibri" w:cs="Calibri"/>
              </w:rPr>
            </w:pPr>
          </w:p>
        </w:tc>
        <w:tc>
          <w:tcPr>
            <w:tcW w:w="901" w:type="dxa"/>
          </w:tcPr>
          <w:p w14:paraId="12722BA1" w14:textId="77777777" w:rsidR="00A236CF" w:rsidRPr="009C5CA1" w:rsidRDefault="00A236CF">
            <w:pPr>
              <w:rPr>
                <w:rFonts w:ascii="Calibri" w:hAnsi="Calibri" w:cs="Calibri"/>
              </w:rPr>
            </w:pPr>
            <w:r w:rsidRPr="009C5CA1">
              <w:rPr>
                <w:rFonts w:ascii="Calibri" w:hAnsi="Calibri" w:cs="Calibri"/>
              </w:rPr>
              <w:t>5</w:t>
            </w:r>
          </w:p>
        </w:tc>
      </w:tr>
      <w:tr w:rsidR="00A236CF" w14:paraId="77D54A31" w14:textId="77777777" w:rsidTr="009C5CA1">
        <w:tc>
          <w:tcPr>
            <w:tcW w:w="7621" w:type="dxa"/>
          </w:tcPr>
          <w:p w14:paraId="487288F9" w14:textId="77777777" w:rsidR="00A236CF" w:rsidRPr="009C5CA1" w:rsidRDefault="00A236CF" w:rsidP="00086B20">
            <w:pPr>
              <w:rPr>
                <w:rFonts w:ascii="Calibri" w:hAnsi="Calibri" w:cs="Calibri"/>
              </w:rPr>
            </w:pPr>
            <w:r w:rsidRPr="009C5CA1">
              <w:rPr>
                <w:rFonts w:ascii="Calibri" w:hAnsi="Calibri" w:cs="Calibri"/>
                <w:sz w:val="22"/>
                <w:szCs w:val="22"/>
              </w:rPr>
              <w:t>The Meeting</w:t>
            </w:r>
          </w:p>
          <w:p w14:paraId="6CFD8FE5" w14:textId="77777777" w:rsidR="00A236CF" w:rsidRPr="009C5CA1" w:rsidRDefault="00A236CF" w:rsidP="00086B20">
            <w:pPr>
              <w:rPr>
                <w:rFonts w:ascii="Calibri" w:hAnsi="Calibri" w:cs="Calibri"/>
              </w:rPr>
            </w:pPr>
          </w:p>
        </w:tc>
        <w:tc>
          <w:tcPr>
            <w:tcW w:w="901" w:type="dxa"/>
          </w:tcPr>
          <w:p w14:paraId="5686436B" w14:textId="77777777" w:rsidR="00A236CF" w:rsidRPr="009C5CA1" w:rsidRDefault="00A236CF">
            <w:pPr>
              <w:rPr>
                <w:rFonts w:ascii="Calibri" w:hAnsi="Calibri" w:cs="Calibri"/>
              </w:rPr>
            </w:pPr>
            <w:r w:rsidRPr="009C5CA1">
              <w:rPr>
                <w:rFonts w:ascii="Calibri" w:hAnsi="Calibri" w:cs="Calibri"/>
              </w:rPr>
              <w:t>5</w:t>
            </w:r>
          </w:p>
        </w:tc>
      </w:tr>
      <w:tr w:rsidR="00A236CF" w14:paraId="70268F3E" w14:textId="77777777" w:rsidTr="009C5CA1">
        <w:tc>
          <w:tcPr>
            <w:tcW w:w="7621" w:type="dxa"/>
          </w:tcPr>
          <w:p w14:paraId="4C8C3056" w14:textId="77777777" w:rsidR="00A236CF" w:rsidRPr="009C5CA1" w:rsidRDefault="00A236CF" w:rsidP="00086B20">
            <w:pPr>
              <w:rPr>
                <w:rFonts w:ascii="Calibri" w:hAnsi="Calibri" w:cs="Calibri"/>
              </w:rPr>
            </w:pPr>
            <w:r w:rsidRPr="009C5CA1">
              <w:rPr>
                <w:rFonts w:ascii="Calibri" w:hAnsi="Calibri" w:cs="Calibri"/>
                <w:sz w:val="22"/>
                <w:szCs w:val="22"/>
              </w:rPr>
              <w:t>Emergency THPP Meetings</w:t>
            </w:r>
          </w:p>
          <w:p w14:paraId="39273ADE" w14:textId="77777777" w:rsidR="00A236CF" w:rsidRPr="009C5CA1" w:rsidRDefault="00A236CF" w:rsidP="00086B20">
            <w:pPr>
              <w:rPr>
                <w:rFonts w:ascii="Calibri" w:hAnsi="Calibri" w:cs="Calibri"/>
              </w:rPr>
            </w:pPr>
          </w:p>
        </w:tc>
        <w:tc>
          <w:tcPr>
            <w:tcW w:w="901" w:type="dxa"/>
          </w:tcPr>
          <w:p w14:paraId="310A3882" w14:textId="3575B541" w:rsidR="00A236CF" w:rsidRPr="009C5CA1" w:rsidRDefault="006D5620">
            <w:pPr>
              <w:rPr>
                <w:rFonts w:ascii="Calibri" w:hAnsi="Calibri" w:cs="Calibri"/>
              </w:rPr>
            </w:pPr>
            <w:r>
              <w:rPr>
                <w:rFonts w:ascii="Calibri" w:hAnsi="Calibri" w:cs="Calibri"/>
              </w:rPr>
              <w:t>5</w:t>
            </w:r>
          </w:p>
        </w:tc>
      </w:tr>
      <w:tr w:rsidR="00A236CF" w14:paraId="341A9BDE" w14:textId="77777777" w:rsidTr="009C5CA1">
        <w:tc>
          <w:tcPr>
            <w:tcW w:w="7621" w:type="dxa"/>
          </w:tcPr>
          <w:p w14:paraId="12522A53" w14:textId="77777777" w:rsidR="00A236CF" w:rsidRPr="009C5CA1" w:rsidRDefault="00A236CF" w:rsidP="00086B20">
            <w:pPr>
              <w:rPr>
                <w:rFonts w:ascii="Calibri" w:hAnsi="Calibri" w:cs="Calibri"/>
              </w:rPr>
            </w:pPr>
            <w:r w:rsidRPr="009C5CA1">
              <w:rPr>
                <w:rFonts w:ascii="Calibri" w:hAnsi="Calibri" w:cs="Calibri"/>
                <w:sz w:val="22"/>
                <w:szCs w:val="22"/>
              </w:rPr>
              <w:t>Safeguarding Children</w:t>
            </w:r>
          </w:p>
          <w:p w14:paraId="752E5BBC" w14:textId="77777777" w:rsidR="00A236CF" w:rsidRPr="009C5CA1" w:rsidRDefault="00A236CF" w:rsidP="00086B20">
            <w:pPr>
              <w:rPr>
                <w:rFonts w:ascii="Calibri" w:hAnsi="Calibri" w:cs="Calibri"/>
              </w:rPr>
            </w:pPr>
          </w:p>
        </w:tc>
        <w:tc>
          <w:tcPr>
            <w:tcW w:w="901" w:type="dxa"/>
          </w:tcPr>
          <w:p w14:paraId="0E82343C" w14:textId="06BB0EA6" w:rsidR="00A236CF" w:rsidRPr="009C5CA1" w:rsidRDefault="006D5620">
            <w:pPr>
              <w:rPr>
                <w:rFonts w:ascii="Calibri" w:hAnsi="Calibri" w:cs="Calibri"/>
              </w:rPr>
            </w:pPr>
            <w:r>
              <w:rPr>
                <w:rFonts w:ascii="Calibri" w:hAnsi="Calibri" w:cs="Calibri"/>
              </w:rPr>
              <w:t>5</w:t>
            </w:r>
          </w:p>
        </w:tc>
      </w:tr>
      <w:tr w:rsidR="00A236CF" w14:paraId="7F243F2F" w14:textId="77777777" w:rsidTr="009C5CA1">
        <w:tc>
          <w:tcPr>
            <w:tcW w:w="7621" w:type="dxa"/>
          </w:tcPr>
          <w:p w14:paraId="7BDA64B8" w14:textId="77777777" w:rsidR="00A236CF" w:rsidRPr="009C5CA1" w:rsidRDefault="00A236CF" w:rsidP="00086B20">
            <w:pPr>
              <w:rPr>
                <w:rFonts w:ascii="Calibri" w:hAnsi="Calibri" w:cs="Calibri"/>
              </w:rPr>
            </w:pPr>
            <w:r w:rsidRPr="009C5CA1">
              <w:rPr>
                <w:rFonts w:ascii="Calibri" w:hAnsi="Calibri" w:cs="Calibri"/>
                <w:sz w:val="22"/>
                <w:szCs w:val="22"/>
              </w:rPr>
              <w:t>Safeguarding Adults</w:t>
            </w:r>
          </w:p>
          <w:p w14:paraId="0456D538" w14:textId="77777777" w:rsidR="00A236CF" w:rsidRPr="009C5CA1" w:rsidRDefault="00A236CF" w:rsidP="00086B20">
            <w:pPr>
              <w:rPr>
                <w:rFonts w:ascii="Calibri" w:hAnsi="Calibri" w:cs="Calibri"/>
              </w:rPr>
            </w:pPr>
          </w:p>
        </w:tc>
        <w:tc>
          <w:tcPr>
            <w:tcW w:w="901" w:type="dxa"/>
          </w:tcPr>
          <w:p w14:paraId="123E67E4" w14:textId="658B8734" w:rsidR="00A236CF" w:rsidRPr="009C5CA1" w:rsidRDefault="006D5620">
            <w:pPr>
              <w:rPr>
                <w:rFonts w:ascii="Calibri" w:hAnsi="Calibri" w:cs="Calibri"/>
              </w:rPr>
            </w:pPr>
            <w:r>
              <w:rPr>
                <w:rFonts w:ascii="Calibri" w:hAnsi="Calibri" w:cs="Calibri"/>
              </w:rPr>
              <w:t>5</w:t>
            </w:r>
          </w:p>
        </w:tc>
      </w:tr>
      <w:tr w:rsidR="00A236CF" w14:paraId="16A76075" w14:textId="77777777" w:rsidTr="009C5CA1">
        <w:tc>
          <w:tcPr>
            <w:tcW w:w="7621" w:type="dxa"/>
          </w:tcPr>
          <w:p w14:paraId="2C98F878" w14:textId="77777777" w:rsidR="00A236CF" w:rsidRPr="009C5CA1" w:rsidRDefault="00A236CF" w:rsidP="00086B20">
            <w:pPr>
              <w:rPr>
                <w:rFonts w:ascii="Calibri" w:hAnsi="Calibri" w:cs="Calibri"/>
              </w:rPr>
            </w:pPr>
            <w:r w:rsidRPr="009C5CA1">
              <w:rPr>
                <w:rFonts w:ascii="Calibri" w:hAnsi="Calibri" w:cs="Calibri"/>
                <w:sz w:val="22"/>
                <w:szCs w:val="22"/>
              </w:rPr>
              <w:t>Administration</w:t>
            </w:r>
          </w:p>
          <w:p w14:paraId="0380D9F5" w14:textId="77777777" w:rsidR="00A236CF" w:rsidRPr="009C5CA1" w:rsidRDefault="00A236CF" w:rsidP="00086B20">
            <w:pPr>
              <w:rPr>
                <w:rFonts w:ascii="Calibri" w:hAnsi="Calibri" w:cs="Calibri"/>
              </w:rPr>
            </w:pPr>
          </w:p>
        </w:tc>
        <w:tc>
          <w:tcPr>
            <w:tcW w:w="901" w:type="dxa"/>
          </w:tcPr>
          <w:p w14:paraId="01362EA0" w14:textId="4AAEFD03" w:rsidR="00A236CF" w:rsidRPr="009C5CA1" w:rsidRDefault="006D5620">
            <w:pPr>
              <w:rPr>
                <w:rFonts w:ascii="Calibri" w:hAnsi="Calibri" w:cs="Calibri"/>
              </w:rPr>
            </w:pPr>
            <w:r>
              <w:rPr>
                <w:rFonts w:ascii="Calibri" w:hAnsi="Calibri" w:cs="Calibri"/>
              </w:rPr>
              <w:t>6</w:t>
            </w:r>
          </w:p>
        </w:tc>
      </w:tr>
      <w:tr w:rsidR="00A236CF" w14:paraId="3124BE2F" w14:textId="77777777" w:rsidTr="009C5CA1">
        <w:tc>
          <w:tcPr>
            <w:tcW w:w="7621" w:type="dxa"/>
          </w:tcPr>
          <w:p w14:paraId="2E2C220D" w14:textId="77777777" w:rsidR="00A236CF" w:rsidRPr="009C5CA1" w:rsidRDefault="00A236CF" w:rsidP="00086B20">
            <w:pPr>
              <w:rPr>
                <w:rFonts w:ascii="Calibri" w:hAnsi="Calibri" w:cs="Calibri"/>
              </w:rPr>
            </w:pPr>
            <w:r w:rsidRPr="009C5CA1">
              <w:rPr>
                <w:rFonts w:ascii="Calibri" w:hAnsi="Calibri" w:cs="Calibri"/>
                <w:sz w:val="22"/>
                <w:szCs w:val="22"/>
              </w:rPr>
              <w:t>Information Sharing Protocol</w:t>
            </w:r>
          </w:p>
          <w:p w14:paraId="6E231EE1" w14:textId="77777777" w:rsidR="00A236CF" w:rsidRPr="009C5CA1" w:rsidRDefault="00A236CF" w:rsidP="00086B20">
            <w:pPr>
              <w:rPr>
                <w:rFonts w:ascii="Calibri" w:hAnsi="Calibri" w:cs="Calibri"/>
              </w:rPr>
            </w:pPr>
          </w:p>
        </w:tc>
        <w:tc>
          <w:tcPr>
            <w:tcW w:w="901" w:type="dxa"/>
          </w:tcPr>
          <w:p w14:paraId="5464913D" w14:textId="64FF664A" w:rsidR="00A236CF" w:rsidRPr="009C5CA1" w:rsidRDefault="006D5620">
            <w:pPr>
              <w:rPr>
                <w:rFonts w:ascii="Calibri" w:hAnsi="Calibri" w:cs="Calibri"/>
              </w:rPr>
            </w:pPr>
            <w:r>
              <w:rPr>
                <w:rFonts w:ascii="Calibri" w:hAnsi="Calibri" w:cs="Calibri"/>
              </w:rPr>
              <w:t>6</w:t>
            </w:r>
          </w:p>
        </w:tc>
      </w:tr>
      <w:tr w:rsidR="00A236CF" w14:paraId="00E8482A" w14:textId="77777777" w:rsidTr="009C5CA1">
        <w:tc>
          <w:tcPr>
            <w:tcW w:w="7621" w:type="dxa"/>
          </w:tcPr>
          <w:p w14:paraId="69A0CF90" w14:textId="77777777" w:rsidR="00A236CF" w:rsidRPr="009C5CA1" w:rsidRDefault="00A236CF" w:rsidP="00086B20">
            <w:pPr>
              <w:rPr>
                <w:rFonts w:ascii="Calibri" w:hAnsi="Calibri" w:cs="Calibri"/>
              </w:rPr>
            </w:pPr>
            <w:r w:rsidRPr="009C5CA1">
              <w:rPr>
                <w:rFonts w:ascii="Calibri" w:hAnsi="Calibri" w:cs="Calibri"/>
                <w:sz w:val="22"/>
                <w:szCs w:val="22"/>
              </w:rPr>
              <w:t>Confidentiality</w:t>
            </w:r>
          </w:p>
        </w:tc>
        <w:tc>
          <w:tcPr>
            <w:tcW w:w="901" w:type="dxa"/>
          </w:tcPr>
          <w:p w14:paraId="5947B3E2" w14:textId="4AEC0E39" w:rsidR="00A236CF" w:rsidRDefault="006D5620">
            <w:pPr>
              <w:rPr>
                <w:rFonts w:ascii="Calibri" w:hAnsi="Calibri" w:cs="Calibri"/>
              </w:rPr>
            </w:pPr>
            <w:r>
              <w:rPr>
                <w:rFonts w:ascii="Calibri" w:hAnsi="Calibri" w:cs="Calibri"/>
              </w:rPr>
              <w:t>6</w:t>
            </w:r>
          </w:p>
          <w:p w14:paraId="2ECCC682" w14:textId="77777777" w:rsidR="00A6712E" w:rsidRPr="009C5CA1" w:rsidRDefault="00A6712E">
            <w:pPr>
              <w:rPr>
                <w:rFonts w:ascii="Calibri" w:hAnsi="Calibri" w:cs="Calibri"/>
              </w:rPr>
            </w:pPr>
          </w:p>
        </w:tc>
      </w:tr>
      <w:tr w:rsidR="00A236CF" w14:paraId="17FFE7E2" w14:textId="77777777" w:rsidTr="009C5CA1">
        <w:tc>
          <w:tcPr>
            <w:tcW w:w="7621" w:type="dxa"/>
          </w:tcPr>
          <w:p w14:paraId="6A252C0D" w14:textId="77777777" w:rsidR="00A236CF" w:rsidRPr="009C5CA1" w:rsidRDefault="00A236CF" w:rsidP="00086B20">
            <w:pPr>
              <w:rPr>
                <w:rFonts w:ascii="Calibri" w:hAnsi="Calibri" w:cs="Calibri"/>
              </w:rPr>
            </w:pPr>
            <w:r w:rsidRPr="009C5CA1">
              <w:rPr>
                <w:rFonts w:ascii="Calibri" w:hAnsi="Calibri" w:cs="Calibri"/>
                <w:sz w:val="22"/>
                <w:szCs w:val="22"/>
              </w:rPr>
              <w:t>Breaches of Security</w:t>
            </w:r>
          </w:p>
        </w:tc>
        <w:tc>
          <w:tcPr>
            <w:tcW w:w="901" w:type="dxa"/>
          </w:tcPr>
          <w:p w14:paraId="2F17E2CA" w14:textId="7A7709FB" w:rsidR="00A236CF" w:rsidRDefault="006D5620">
            <w:pPr>
              <w:rPr>
                <w:rFonts w:ascii="Calibri" w:hAnsi="Calibri" w:cs="Calibri"/>
              </w:rPr>
            </w:pPr>
            <w:r>
              <w:rPr>
                <w:rFonts w:ascii="Calibri" w:hAnsi="Calibri" w:cs="Calibri"/>
              </w:rPr>
              <w:t>6</w:t>
            </w:r>
          </w:p>
          <w:p w14:paraId="42642C2F" w14:textId="77777777" w:rsidR="00A6712E" w:rsidRPr="009C5CA1" w:rsidRDefault="00A6712E">
            <w:pPr>
              <w:rPr>
                <w:rFonts w:ascii="Calibri" w:hAnsi="Calibri" w:cs="Calibri"/>
              </w:rPr>
            </w:pPr>
          </w:p>
        </w:tc>
      </w:tr>
      <w:tr w:rsidR="00A236CF" w14:paraId="1667510E" w14:textId="77777777" w:rsidTr="009C5CA1">
        <w:tc>
          <w:tcPr>
            <w:tcW w:w="7621" w:type="dxa"/>
          </w:tcPr>
          <w:p w14:paraId="4F6F96A7" w14:textId="77777777" w:rsidR="00A236CF" w:rsidRPr="009C5CA1" w:rsidRDefault="00A236CF" w:rsidP="00086B20">
            <w:pPr>
              <w:rPr>
                <w:rFonts w:ascii="Calibri" w:hAnsi="Calibri" w:cs="Calibri"/>
              </w:rPr>
            </w:pPr>
            <w:r w:rsidRPr="009C5CA1">
              <w:rPr>
                <w:rFonts w:ascii="Calibri" w:hAnsi="Calibri" w:cs="Calibri"/>
                <w:sz w:val="22"/>
                <w:szCs w:val="22"/>
              </w:rPr>
              <w:t>Equality</w:t>
            </w:r>
          </w:p>
        </w:tc>
        <w:tc>
          <w:tcPr>
            <w:tcW w:w="901" w:type="dxa"/>
          </w:tcPr>
          <w:p w14:paraId="06F35E70" w14:textId="0CFB5716" w:rsidR="00A236CF" w:rsidRDefault="006D5620">
            <w:pPr>
              <w:rPr>
                <w:rFonts w:ascii="Calibri" w:hAnsi="Calibri" w:cs="Calibri"/>
              </w:rPr>
            </w:pPr>
            <w:r>
              <w:rPr>
                <w:rFonts w:ascii="Calibri" w:hAnsi="Calibri" w:cs="Calibri"/>
              </w:rPr>
              <w:t>6</w:t>
            </w:r>
          </w:p>
          <w:p w14:paraId="417A9307" w14:textId="77777777" w:rsidR="00A6712E" w:rsidRPr="009C5CA1" w:rsidRDefault="00A6712E">
            <w:pPr>
              <w:rPr>
                <w:rFonts w:ascii="Calibri" w:hAnsi="Calibri" w:cs="Calibri"/>
              </w:rPr>
            </w:pPr>
          </w:p>
        </w:tc>
      </w:tr>
      <w:tr w:rsidR="00A236CF" w14:paraId="4CD622DC" w14:textId="77777777" w:rsidTr="009C5CA1">
        <w:tc>
          <w:tcPr>
            <w:tcW w:w="7621" w:type="dxa"/>
          </w:tcPr>
          <w:p w14:paraId="149D53F0" w14:textId="77777777" w:rsidR="00A236CF" w:rsidRPr="009C5CA1" w:rsidRDefault="00A236CF" w:rsidP="00086B20">
            <w:pPr>
              <w:rPr>
                <w:rFonts w:ascii="Calibri" w:hAnsi="Calibri" w:cs="Calibri"/>
              </w:rPr>
            </w:pPr>
            <w:r w:rsidRPr="009C5CA1">
              <w:rPr>
                <w:rFonts w:ascii="Calibri" w:hAnsi="Calibri" w:cs="Calibri"/>
                <w:sz w:val="22"/>
                <w:szCs w:val="22"/>
              </w:rPr>
              <w:t>Governance</w:t>
            </w:r>
          </w:p>
        </w:tc>
        <w:tc>
          <w:tcPr>
            <w:tcW w:w="901" w:type="dxa"/>
          </w:tcPr>
          <w:p w14:paraId="72A9ED75" w14:textId="60A35A7A" w:rsidR="00A236CF" w:rsidRDefault="006D5620">
            <w:pPr>
              <w:rPr>
                <w:rFonts w:ascii="Calibri" w:hAnsi="Calibri" w:cs="Calibri"/>
              </w:rPr>
            </w:pPr>
            <w:r>
              <w:rPr>
                <w:rFonts w:ascii="Calibri" w:hAnsi="Calibri" w:cs="Calibri"/>
              </w:rPr>
              <w:t>7</w:t>
            </w:r>
          </w:p>
          <w:p w14:paraId="7C07A872" w14:textId="77777777" w:rsidR="00A6712E" w:rsidRPr="009C5CA1" w:rsidRDefault="00A6712E">
            <w:pPr>
              <w:rPr>
                <w:rFonts w:ascii="Calibri" w:hAnsi="Calibri" w:cs="Calibri"/>
              </w:rPr>
            </w:pPr>
          </w:p>
        </w:tc>
      </w:tr>
      <w:tr w:rsidR="00A236CF" w14:paraId="271442B9" w14:textId="77777777" w:rsidTr="009C5CA1">
        <w:tc>
          <w:tcPr>
            <w:tcW w:w="7621" w:type="dxa"/>
          </w:tcPr>
          <w:p w14:paraId="4E043F18" w14:textId="77777777" w:rsidR="00A236CF" w:rsidRPr="009C5CA1" w:rsidRDefault="00A236CF" w:rsidP="00086B20">
            <w:pPr>
              <w:rPr>
                <w:rFonts w:ascii="Calibri" w:hAnsi="Calibri" w:cs="Calibri"/>
              </w:rPr>
            </w:pPr>
            <w:r w:rsidRPr="009C5CA1">
              <w:rPr>
                <w:rFonts w:ascii="Calibri" w:hAnsi="Calibri" w:cs="Calibri"/>
                <w:sz w:val="22"/>
                <w:szCs w:val="22"/>
              </w:rPr>
              <w:t>Review of this Information</w:t>
            </w:r>
          </w:p>
        </w:tc>
        <w:tc>
          <w:tcPr>
            <w:tcW w:w="901" w:type="dxa"/>
          </w:tcPr>
          <w:p w14:paraId="13F54826" w14:textId="07F44BF0" w:rsidR="00A236CF" w:rsidRDefault="006D5620">
            <w:pPr>
              <w:rPr>
                <w:rFonts w:ascii="Calibri" w:hAnsi="Calibri" w:cs="Calibri"/>
              </w:rPr>
            </w:pPr>
            <w:r>
              <w:rPr>
                <w:rFonts w:ascii="Calibri" w:hAnsi="Calibri" w:cs="Calibri"/>
              </w:rPr>
              <w:t>7</w:t>
            </w:r>
          </w:p>
          <w:p w14:paraId="43DD97C5" w14:textId="77777777" w:rsidR="00A6712E" w:rsidRPr="009C5CA1" w:rsidRDefault="00A6712E">
            <w:pPr>
              <w:rPr>
                <w:rFonts w:ascii="Calibri" w:hAnsi="Calibri" w:cs="Calibri"/>
              </w:rPr>
            </w:pPr>
          </w:p>
        </w:tc>
      </w:tr>
      <w:tr w:rsidR="00A236CF" w14:paraId="4C153790" w14:textId="77777777" w:rsidTr="009C5CA1">
        <w:tc>
          <w:tcPr>
            <w:tcW w:w="7621" w:type="dxa"/>
          </w:tcPr>
          <w:p w14:paraId="4F508B19" w14:textId="77777777" w:rsidR="00A236CF" w:rsidRPr="009C5CA1" w:rsidRDefault="00A236CF" w:rsidP="00086B20">
            <w:pPr>
              <w:rPr>
                <w:rFonts w:ascii="Calibri" w:hAnsi="Calibri" w:cs="Calibri"/>
              </w:rPr>
            </w:pPr>
            <w:r w:rsidRPr="009C5CA1">
              <w:rPr>
                <w:rFonts w:ascii="Calibri" w:hAnsi="Calibri" w:cs="Calibri"/>
                <w:sz w:val="22"/>
                <w:szCs w:val="22"/>
              </w:rPr>
              <w:t>Complaints’ Procedure</w:t>
            </w:r>
          </w:p>
        </w:tc>
        <w:tc>
          <w:tcPr>
            <w:tcW w:w="901" w:type="dxa"/>
          </w:tcPr>
          <w:p w14:paraId="5FF51A64" w14:textId="0006BFC5" w:rsidR="00A236CF" w:rsidRDefault="006D5620">
            <w:pPr>
              <w:rPr>
                <w:rFonts w:ascii="Calibri" w:hAnsi="Calibri" w:cs="Calibri"/>
              </w:rPr>
            </w:pPr>
            <w:r>
              <w:rPr>
                <w:rFonts w:ascii="Calibri" w:hAnsi="Calibri" w:cs="Calibri"/>
              </w:rPr>
              <w:t>7</w:t>
            </w:r>
          </w:p>
          <w:p w14:paraId="59026623" w14:textId="77777777" w:rsidR="00A6712E" w:rsidRPr="009C5CA1" w:rsidRDefault="00A6712E">
            <w:pPr>
              <w:rPr>
                <w:rFonts w:ascii="Calibri" w:hAnsi="Calibri" w:cs="Calibri"/>
              </w:rPr>
            </w:pPr>
          </w:p>
        </w:tc>
      </w:tr>
      <w:tr w:rsidR="00A236CF" w14:paraId="097AE365" w14:textId="77777777" w:rsidTr="009C5CA1">
        <w:tc>
          <w:tcPr>
            <w:tcW w:w="7621" w:type="dxa"/>
          </w:tcPr>
          <w:p w14:paraId="650169E6" w14:textId="77777777" w:rsidR="00A236CF" w:rsidRPr="009C5CA1" w:rsidRDefault="00A236CF" w:rsidP="00086B20">
            <w:pPr>
              <w:rPr>
                <w:rFonts w:ascii="Calibri" w:hAnsi="Calibri" w:cs="Calibri"/>
              </w:rPr>
            </w:pPr>
            <w:r w:rsidRPr="009C5CA1">
              <w:rPr>
                <w:rFonts w:ascii="Calibri" w:hAnsi="Calibri" w:cs="Calibri"/>
                <w:sz w:val="22"/>
                <w:szCs w:val="22"/>
              </w:rPr>
              <w:t>Withdrawing from the Partnership</w:t>
            </w:r>
          </w:p>
        </w:tc>
        <w:tc>
          <w:tcPr>
            <w:tcW w:w="901" w:type="dxa"/>
          </w:tcPr>
          <w:p w14:paraId="02488D8D" w14:textId="29FE3D6F" w:rsidR="00A236CF" w:rsidRDefault="006D5620">
            <w:pPr>
              <w:rPr>
                <w:rFonts w:ascii="Calibri" w:hAnsi="Calibri" w:cs="Calibri"/>
              </w:rPr>
            </w:pPr>
            <w:r>
              <w:rPr>
                <w:rFonts w:ascii="Calibri" w:hAnsi="Calibri" w:cs="Calibri"/>
              </w:rPr>
              <w:t>7</w:t>
            </w:r>
          </w:p>
          <w:p w14:paraId="4F6C01D9" w14:textId="77777777" w:rsidR="00A6712E" w:rsidRDefault="00A6712E">
            <w:pPr>
              <w:rPr>
                <w:rFonts w:ascii="Calibri" w:hAnsi="Calibri" w:cs="Calibri"/>
              </w:rPr>
            </w:pPr>
          </w:p>
          <w:p w14:paraId="6D460CC8" w14:textId="77777777" w:rsidR="00107092" w:rsidRDefault="00107092">
            <w:pPr>
              <w:rPr>
                <w:rFonts w:ascii="Calibri" w:hAnsi="Calibri" w:cs="Calibri"/>
              </w:rPr>
            </w:pPr>
          </w:p>
          <w:p w14:paraId="346B0A67" w14:textId="217DAC41" w:rsidR="00107092" w:rsidRPr="009C5CA1" w:rsidRDefault="00107092">
            <w:pPr>
              <w:rPr>
                <w:rFonts w:ascii="Calibri" w:hAnsi="Calibri" w:cs="Calibri"/>
              </w:rPr>
            </w:pPr>
          </w:p>
        </w:tc>
      </w:tr>
    </w:tbl>
    <w:p w14:paraId="52B90E49" w14:textId="77777777" w:rsidR="00A236CF" w:rsidRPr="003A15E8" w:rsidRDefault="00A236CF" w:rsidP="00DB51B2">
      <w:pPr>
        <w:pStyle w:val="ListParagraph"/>
        <w:numPr>
          <w:ilvl w:val="0"/>
          <w:numId w:val="2"/>
        </w:numPr>
        <w:ind w:left="426" w:hanging="426"/>
        <w:jc w:val="both"/>
        <w:rPr>
          <w:rFonts w:ascii="Calibri" w:hAnsi="Calibri" w:cs="Calibri"/>
          <w:b/>
          <w:color w:val="008080"/>
        </w:rPr>
      </w:pPr>
      <w:r w:rsidRPr="003A15E8">
        <w:rPr>
          <w:rFonts w:ascii="Calibri" w:hAnsi="Calibri" w:cs="Calibri"/>
          <w:b/>
          <w:color w:val="008080"/>
        </w:rPr>
        <w:lastRenderedPageBreak/>
        <w:t>Introduction</w:t>
      </w:r>
    </w:p>
    <w:p w14:paraId="2065EDA0" w14:textId="77777777" w:rsidR="00A236CF" w:rsidRDefault="00A236CF" w:rsidP="00E14095">
      <w:pPr>
        <w:jc w:val="both"/>
        <w:rPr>
          <w:rFonts w:ascii="Calibri" w:hAnsi="Calibri" w:cs="Calibri"/>
        </w:rPr>
      </w:pPr>
    </w:p>
    <w:p w14:paraId="0159C435" w14:textId="4ECDE4D2" w:rsidR="00C14850" w:rsidRDefault="00A236CF" w:rsidP="00E14095">
      <w:pPr>
        <w:jc w:val="both"/>
        <w:rPr>
          <w:rFonts w:ascii="Calibri" w:hAnsi="Calibri" w:cs="Calibri"/>
        </w:rPr>
      </w:pPr>
      <w:r>
        <w:rPr>
          <w:rFonts w:ascii="Calibri" w:hAnsi="Calibri" w:cs="Calibri"/>
        </w:rPr>
        <w:t xml:space="preserve">The Tower Hamlets’ Prostitution Partnership (THPP) is a multi-agency group convened </w:t>
      </w:r>
      <w:r w:rsidR="003A15E8">
        <w:rPr>
          <w:rFonts w:ascii="Calibri" w:hAnsi="Calibri" w:cs="Calibri"/>
        </w:rPr>
        <w:t xml:space="preserve">by Beyond the Streets </w:t>
      </w:r>
      <w:r>
        <w:rPr>
          <w:rFonts w:ascii="Calibri" w:hAnsi="Calibri" w:cs="Calibri"/>
        </w:rPr>
        <w:t>to hold MARAC-style case management meetings where professionals from each agency can share information about street</w:t>
      </w:r>
      <w:r w:rsidR="00605E4C">
        <w:rPr>
          <w:rFonts w:ascii="Calibri" w:hAnsi="Calibri" w:cs="Calibri"/>
        </w:rPr>
        <w:t>-</w:t>
      </w:r>
      <w:r>
        <w:rPr>
          <w:rFonts w:ascii="Calibri" w:hAnsi="Calibri" w:cs="Calibri"/>
        </w:rPr>
        <w:t xml:space="preserve">based individuals involved in prostitution to provide a holistic support package, including a risk management plan. The aim of the case management meeting is to </w:t>
      </w:r>
      <w:r w:rsidR="003C7614">
        <w:rPr>
          <w:rFonts w:ascii="Calibri" w:hAnsi="Calibri" w:cs="Calibri"/>
        </w:rPr>
        <w:t xml:space="preserve">tackle </w:t>
      </w:r>
      <w:r>
        <w:rPr>
          <w:rFonts w:ascii="Calibri" w:hAnsi="Calibri" w:cs="Calibri"/>
        </w:rPr>
        <w:t xml:space="preserve">the </w:t>
      </w:r>
      <w:r w:rsidR="003C7614">
        <w:rPr>
          <w:rFonts w:ascii="Calibri" w:hAnsi="Calibri" w:cs="Calibri"/>
        </w:rPr>
        <w:t xml:space="preserve">harm faced by individuals involved in prostitution by addressing their </w:t>
      </w:r>
      <w:r>
        <w:rPr>
          <w:rFonts w:ascii="Calibri" w:hAnsi="Calibri" w:cs="Calibri"/>
        </w:rPr>
        <w:t>safety</w:t>
      </w:r>
      <w:r w:rsidR="003C7614">
        <w:rPr>
          <w:rFonts w:ascii="Calibri" w:hAnsi="Calibri" w:cs="Calibri"/>
        </w:rPr>
        <w:t>. This</w:t>
      </w:r>
      <w:r>
        <w:rPr>
          <w:rFonts w:ascii="Calibri" w:hAnsi="Calibri" w:cs="Calibri"/>
        </w:rPr>
        <w:t xml:space="preserve"> </w:t>
      </w:r>
      <w:r w:rsidR="003C7614">
        <w:rPr>
          <w:rFonts w:ascii="Calibri" w:hAnsi="Calibri" w:cs="Calibri"/>
        </w:rPr>
        <w:t xml:space="preserve">is alongside </w:t>
      </w:r>
      <w:r>
        <w:rPr>
          <w:rFonts w:ascii="Calibri" w:hAnsi="Calibri" w:cs="Calibri"/>
        </w:rPr>
        <w:t xml:space="preserve">a </w:t>
      </w:r>
      <w:r w:rsidR="003C7614">
        <w:rPr>
          <w:rFonts w:ascii="Calibri" w:hAnsi="Calibri" w:cs="Calibri"/>
        </w:rPr>
        <w:t>long</w:t>
      </w:r>
      <w:r w:rsidR="00605E4C">
        <w:rPr>
          <w:rFonts w:ascii="Calibri" w:hAnsi="Calibri" w:cs="Calibri"/>
        </w:rPr>
        <w:t>-</w:t>
      </w:r>
      <w:r w:rsidR="003C7614">
        <w:rPr>
          <w:rFonts w:ascii="Calibri" w:hAnsi="Calibri" w:cs="Calibri"/>
        </w:rPr>
        <w:t xml:space="preserve">term </w:t>
      </w:r>
      <w:r>
        <w:rPr>
          <w:rFonts w:ascii="Calibri" w:hAnsi="Calibri" w:cs="Calibri"/>
        </w:rPr>
        <w:t>view</w:t>
      </w:r>
      <w:r w:rsidR="003C7614">
        <w:rPr>
          <w:rFonts w:ascii="Calibri" w:hAnsi="Calibri" w:cs="Calibri"/>
        </w:rPr>
        <w:t xml:space="preserve"> of</w:t>
      </w:r>
      <w:r>
        <w:rPr>
          <w:rFonts w:ascii="Calibri" w:hAnsi="Calibri" w:cs="Calibri"/>
        </w:rPr>
        <w:t xml:space="preserve"> </w:t>
      </w:r>
      <w:r w:rsidR="003C7614">
        <w:rPr>
          <w:rFonts w:ascii="Calibri" w:hAnsi="Calibri" w:cs="Calibri"/>
        </w:rPr>
        <w:t>enabling those affected</w:t>
      </w:r>
      <w:r>
        <w:rPr>
          <w:rFonts w:ascii="Calibri" w:hAnsi="Calibri" w:cs="Calibri"/>
        </w:rPr>
        <w:t xml:space="preserve"> to safely exit prostitution</w:t>
      </w:r>
      <w:r w:rsidR="003C7614">
        <w:rPr>
          <w:rFonts w:ascii="Calibri" w:hAnsi="Calibri" w:cs="Calibri"/>
        </w:rPr>
        <w:t>.</w:t>
      </w:r>
    </w:p>
    <w:p w14:paraId="7F7A71BB" w14:textId="77777777" w:rsidR="00A236CF" w:rsidRDefault="00A236CF" w:rsidP="00646A1A">
      <w:pPr>
        <w:jc w:val="both"/>
        <w:rPr>
          <w:rFonts w:ascii="Calibri" w:hAnsi="Calibri" w:cs="Calibri"/>
        </w:rPr>
      </w:pPr>
    </w:p>
    <w:p w14:paraId="176A0893" w14:textId="6913507F" w:rsidR="00A236CF" w:rsidRDefault="003A15E8" w:rsidP="00E14095">
      <w:pPr>
        <w:jc w:val="both"/>
        <w:rPr>
          <w:rFonts w:ascii="Calibri" w:hAnsi="Calibri" w:cs="Calibri"/>
        </w:rPr>
      </w:pPr>
      <w:r>
        <w:rPr>
          <w:rFonts w:ascii="Calibri" w:hAnsi="Calibri" w:cs="Calibri"/>
        </w:rPr>
        <w:t xml:space="preserve">Beyond the Streets, commissioned to deliver the </w:t>
      </w:r>
      <w:r w:rsidR="00A236CF">
        <w:rPr>
          <w:rFonts w:ascii="Calibri" w:hAnsi="Calibri" w:cs="Calibri"/>
        </w:rPr>
        <w:t xml:space="preserve">Tower Hamlets’ Prostitution </w:t>
      </w:r>
      <w:r w:rsidR="00605E4C">
        <w:rPr>
          <w:rFonts w:ascii="Calibri" w:hAnsi="Calibri" w:cs="Calibri"/>
        </w:rPr>
        <w:t>Support Programme,</w:t>
      </w:r>
      <w:r>
        <w:rPr>
          <w:rFonts w:ascii="Calibri" w:hAnsi="Calibri" w:cs="Calibri"/>
        </w:rPr>
        <w:t xml:space="preserve"> will co-ordinate these meetings.</w:t>
      </w:r>
    </w:p>
    <w:p w14:paraId="59D7A9C5" w14:textId="77777777" w:rsidR="00A236CF" w:rsidRDefault="00A236CF" w:rsidP="00E14095">
      <w:pPr>
        <w:jc w:val="both"/>
        <w:rPr>
          <w:rFonts w:ascii="Calibri" w:hAnsi="Calibri" w:cs="Calibri"/>
        </w:rPr>
      </w:pPr>
    </w:p>
    <w:p w14:paraId="4198D783" w14:textId="77777777" w:rsidR="00A236CF" w:rsidRPr="003A15E8" w:rsidRDefault="00A236CF" w:rsidP="00DB51B2">
      <w:pPr>
        <w:pStyle w:val="ListParagraph"/>
        <w:numPr>
          <w:ilvl w:val="0"/>
          <w:numId w:val="2"/>
        </w:numPr>
        <w:ind w:left="426" w:hanging="426"/>
        <w:jc w:val="both"/>
        <w:rPr>
          <w:rFonts w:ascii="Calibri" w:hAnsi="Calibri" w:cs="Calibri"/>
          <w:b/>
          <w:color w:val="008080"/>
        </w:rPr>
      </w:pPr>
      <w:r w:rsidRPr="003A15E8">
        <w:rPr>
          <w:rFonts w:ascii="Calibri" w:hAnsi="Calibri" w:cs="Calibri"/>
          <w:b/>
          <w:color w:val="008080"/>
        </w:rPr>
        <w:t>Aims</w:t>
      </w:r>
    </w:p>
    <w:p w14:paraId="1F909A7A" w14:textId="77777777" w:rsidR="00A236CF" w:rsidRDefault="00A236CF" w:rsidP="00E14095">
      <w:pPr>
        <w:jc w:val="both"/>
        <w:rPr>
          <w:rFonts w:ascii="Calibri" w:hAnsi="Calibri" w:cs="Calibri"/>
          <w:b/>
        </w:rPr>
      </w:pPr>
    </w:p>
    <w:p w14:paraId="098304A7" w14:textId="77777777" w:rsidR="00A236CF" w:rsidRPr="000022AC" w:rsidRDefault="00A236CF" w:rsidP="00E14095">
      <w:pPr>
        <w:jc w:val="both"/>
        <w:rPr>
          <w:rFonts w:ascii="Calibri" w:hAnsi="Calibri" w:cs="Calibri"/>
        </w:rPr>
      </w:pPr>
      <w:r w:rsidRPr="000022AC">
        <w:rPr>
          <w:rFonts w:ascii="Calibri" w:hAnsi="Calibri" w:cs="Calibri"/>
        </w:rPr>
        <w:t>The aims of the Tower Hamlets</w:t>
      </w:r>
      <w:r>
        <w:rPr>
          <w:rFonts w:ascii="Calibri" w:hAnsi="Calibri" w:cs="Calibri"/>
        </w:rPr>
        <w:t>’</w:t>
      </w:r>
      <w:r w:rsidRPr="000022AC">
        <w:rPr>
          <w:rFonts w:ascii="Calibri" w:hAnsi="Calibri" w:cs="Calibri"/>
        </w:rPr>
        <w:t xml:space="preserve"> Prostitution Partnership</w:t>
      </w:r>
      <w:r>
        <w:rPr>
          <w:rFonts w:ascii="Calibri" w:hAnsi="Calibri" w:cs="Calibri"/>
        </w:rPr>
        <w:t xml:space="preserve"> case management meetings</w:t>
      </w:r>
      <w:r w:rsidRPr="000022AC">
        <w:rPr>
          <w:rFonts w:ascii="Calibri" w:hAnsi="Calibri" w:cs="Calibri"/>
        </w:rPr>
        <w:t xml:space="preserve"> are to:</w:t>
      </w:r>
    </w:p>
    <w:p w14:paraId="02563557" w14:textId="77777777" w:rsidR="00A236CF" w:rsidRPr="000022AC" w:rsidRDefault="00A236CF" w:rsidP="00E14095">
      <w:pPr>
        <w:jc w:val="both"/>
        <w:rPr>
          <w:rFonts w:ascii="Calibri" w:hAnsi="Calibri" w:cs="Calibri"/>
        </w:rPr>
      </w:pPr>
    </w:p>
    <w:p w14:paraId="404906B3" w14:textId="77777777" w:rsidR="00A236CF" w:rsidRPr="00D27DEC" w:rsidRDefault="00A236CF" w:rsidP="000022AC">
      <w:pPr>
        <w:pStyle w:val="ListParagraph"/>
        <w:numPr>
          <w:ilvl w:val="0"/>
          <w:numId w:val="1"/>
        </w:numPr>
        <w:ind w:left="284" w:hanging="284"/>
        <w:jc w:val="both"/>
        <w:rPr>
          <w:rFonts w:ascii="Calibri" w:hAnsi="Calibri" w:cs="Calibri"/>
          <w:b/>
        </w:rPr>
      </w:pPr>
      <w:r>
        <w:rPr>
          <w:rFonts w:ascii="Calibri" w:hAnsi="Calibri" w:cs="Calibri"/>
        </w:rPr>
        <w:t xml:space="preserve">Share information in a multi-agency forum with a view to increasing the safety and wellbeing of individuals involved in prostitution, including their children where </w:t>
      </w:r>
      <w:proofErr w:type="gramStart"/>
      <w:r>
        <w:rPr>
          <w:rFonts w:ascii="Calibri" w:hAnsi="Calibri" w:cs="Calibri"/>
        </w:rPr>
        <w:t>applicable</w:t>
      </w:r>
      <w:proofErr w:type="gramEnd"/>
    </w:p>
    <w:p w14:paraId="4C92CE6E" w14:textId="77777777" w:rsidR="00A236CF" w:rsidRPr="00D27DEC" w:rsidRDefault="00A236CF" w:rsidP="000022AC">
      <w:pPr>
        <w:pStyle w:val="ListParagraph"/>
        <w:numPr>
          <w:ilvl w:val="0"/>
          <w:numId w:val="1"/>
        </w:numPr>
        <w:ind w:left="284" w:hanging="284"/>
        <w:jc w:val="both"/>
        <w:rPr>
          <w:rFonts w:ascii="Calibri" w:hAnsi="Calibri" w:cs="Calibri"/>
          <w:b/>
        </w:rPr>
      </w:pPr>
      <w:r>
        <w:rPr>
          <w:rFonts w:ascii="Calibri" w:hAnsi="Calibri" w:cs="Calibri"/>
        </w:rPr>
        <w:t xml:space="preserve">Create a holistic support package that aims to increase their safety and decrease their support needs and which contributes towards their safe exit from </w:t>
      </w:r>
      <w:proofErr w:type="gramStart"/>
      <w:r>
        <w:rPr>
          <w:rFonts w:ascii="Calibri" w:hAnsi="Calibri" w:cs="Calibri"/>
        </w:rPr>
        <w:t>prostitution</w:t>
      </w:r>
      <w:proofErr w:type="gramEnd"/>
    </w:p>
    <w:p w14:paraId="370634CB" w14:textId="77777777" w:rsidR="00A236CF" w:rsidRPr="00D27DEC" w:rsidRDefault="00A236CF" w:rsidP="000022AC">
      <w:pPr>
        <w:pStyle w:val="ListParagraph"/>
        <w:numPr>
          <w:ilvl w:val="0"/>
          <w:numId w:val="1"/>
        </w:numPr>
        <w:ind w:left="284" w:hanging="284"/>
        <w:jc w:val="both"/>
        <w:rPr>
          <w:rFonts w:ascii="Calibri" w:hAnsi="Calibri" w:cs="Calibri"/>
          <w:b/>
        </w:rPr>
      </w:pPr>
      <w:r>
        <w:rPr>
          <w:rFonts w:ascii="Calibri" w:hAnsi="Calibri" w:cs="Calibri"/>
        </w:rPr>
        <w:t xml:space="preserve">Improve individual agency </w:t>
      </w:r>
      <w:proofErr w:type="gramStart"/>
      <w:r>
        <w:rPr>
          <w:rFonts w:ascii="Calibri" w:hAnsi="Calibri" w:cs="Calibri"/>
        </w:rPr>
        <w:t>accountability</w:t>
      </w:r>
      <w:proofErr w:type="gramEnd"/>
    </w:p>
    <w:p w14:paraId="042419A1" w14:textId="77777777" w:rsidR="00A236CF" w:rsidRPr="00D27DEC" w:rsidRDefault="00A236CF" w:rsidP="000022AC">
      <w:pPr>
        <w:pStyle w:val="ListParagraph"/>
        <w:numPr>
          <w:ilvl w:val="0"/>
          <w:numId w:val="1"/>
        </w:numPr>
        <w:ind w:left="284" w:hanging="284"/>
        <w:jc w:val="both"/>
        <w:rPr>
          <w:rFonts w:ascii="Calibri" w:hAnsi="Calibri" w:cs="Calibri"/>
          <w:b/>
        </w:rPr>
      </w:pPr>
      <w:r>
        <w:rPr>
          <w:rFonts w:ascii="Calibri" w:hAnsi="Calibri" w:cs="Calibri"/>
        </w:rPr>
        <w:t xml:space="preserve">Reduce repeat </w:t>
      </w:r>
      <w:proofErr w:type="gramStart"/>
      <w:r>
        <w:rPr>
          <w:rFonts w:ascii="Calibri" w:hAnsi="Calibri" w:cs="Calibri"/>
        </w:rPr>
        <w:t>victimisation</w:t>
      </w:r>
      <w:proofErr w:type="gramEnd"/>
    </w:p>
    <w:p w14:paraId="77F7ECB5" w14:textId="77777777" w:rsidR="00A236CF" w:rsidRPr="00D27DEC" w:rsidRDefault="00A236CF" w:rsidP="000022AC">
      <w:pPr>
        <w:pStyle w:val="ListParagraph"/>
        <w:numPr>
          <w:ilvl w:val="0"/>
          <w:numId w:val="1"/>
        </w:numPr>
        <w:ind w:left="284" w:hanging="284"/>
        <w:jc w:val="both"/>
        <w:rPr>
          <w:rFonts w:ascii="Calibri" w:hAnsi="Calibri" w:cs="Calibri"/>
          <w:b/>
        </w:rPr>
      </w:pPr>
      <w:r>
        <w:rPr>
          <w:rFonts w:ascii="Calibri" w:hAnsi="Calibri" w:cs="Calibri"/>
        </w:rPr>
        <w:t xml:space="preserve">Reduce repeat police </w:t>
      </w:r>
      <w:proofErr w:type="gramStart"/>
      <w:r>
        <w:rPr>
          <w:rFonts w:ascii="Calibri" w:hAnsi="Calibri" w:cs="Calibri"/>
        </w:rPr>
        <w:t>involvement</w:t>
      </w:r>
      <w:proofErr w:type="gramEnd"/>
    </w:p>
    <w:p w14:paraId="7D40D6EF" w14:textId="27A8447B" w:rsidR="00A236CF" w:rsidRPr="003A15E8" w:rsidRDefault="00A236CF" w:rsidP="000022AC">
      <w:pPr>
        <w:pStyle w:val="ListParagraph"/>
        <w:numPr>
          <w:ilvl w:val="0"/>
          <w:numId w:val="1"/>
        </w:numPr>
        <w:ind w:left="284" w:hanging="284"/>
        <w:jc w:val="both"/>
        <w:rPr>
          <w:rFonts w:ascii="Calibri" w:hAnsi="Calibri" w:cs="Calibri"/>
          <w:b/>
        </w:rPr>
      </w:pPr>
      <w:r>
        <w:rPr>
          <w:rFonts w:ascii="Calibri" w:hAnsi="Calibri" w:cs="Calibri"/>
        </w:rPr>
        <w:t xml:space="preserve">Improve support for </w:t>
      </w:r>
      <w:r w:rsidR="00605E4C">
        <w:rPr>
          <w:rFonts w:ascii="Calibri" w:hAnsi="Calibri" w:cs="Calibri"/>
        </w:rPr>
        <w:t xml:space="preserve">frontline </w:t>
      </w:r>
      <w:r>
        <w:rPr>
          <w:rFonts w:ascii="Calibri" w:hAnsi="Calibri" w:cs="Calibri"/>
        </w:rPr>
        <w:t xml:space="preserve">workers working with individuals involved in </w:t>
      </w:r>
      <w:proofErr w:type="gramStart"/>
      <w:r>
        <w:rPr>
          <w:rFonts w:ascii="Calibri" w:hAnsi="Calibri" w:cs="Calibri"/>
        </w:rPr>
        <w:t>prostitution</w:t>
      </w:r>
      <w:proofErr w:type="gramEnd"/>
    </w:p>
    <w:p w14:paraId="3B828057" w14:textId="77777777" w:rsidR="003A15E8" w:rsidRPr="00D27DEC" w:rsidRDefault="003A15E8" w:rsidP="000022AC">
      <w:pPr>
        <w:pStyle w:val="ListParagraph"/>
        <w:numPr>
          <w:ilvl w:val="0"/>
          <w:numId w:val="1"/>
        </w:numPr>
        <w:ind w:left="284" w:hanging="284"/>
        <w:jc w:val="both"/>
        <w:rPr>
          <w:rFonts w:ascii="Calibri" w:hAnsi="Calibri" w:cs="Calibri"/>
          <w:b/>
        </w:rPr>
      </w:pPr>
      <w:r>
        <w:rPr>
          <w:rFonts w:ascii="Calibri" w:hAnsi="Calibri" w:cs="Calibri"/>
        </w:rPr>
        <w:t xml:space="preserve">Promote the sharing of specialist knowledge and good practice. </w:t>
      </w:r>
    </w:p>
    <w:p w14:paraId="18826AA4" w14:textId="77777777" w:rsidR="00A236CF" w:rsidRDefault="00A236CF" w:rsidP="00DB51B2">
      <w:pPr>
        <w:jc w:val="both"/>
        <w:rPr>
          <w:rFonts w:ascii="Calibri" w:hAnsi="Calibri" w:cs="Calibri"/>
          <w:b/>
        </w:rPr>
      </w:pPr>
    </w:p>
    <w:p w14:paraId="5E41D1AB" w14:textId="77777777" w:rsidR="00A236CF" w:rsidRPr="003A15E8" w:rsidRDefault="00A236CF" w:rsidP="009E1DEF">
      <w:pPr>
        <w:pStyle w:val="ListParagraph"/>
        <w:numPr>
          <w:ilvl w:val="0"/>
          <w:numId w:val="2"/>
        </w:numPr>
        <w:ind w:left="426" w:hanging="426"/>
        <w:jc w:val="both"/>
        <w:rPr>
          <w:rFonts w:ascii="Calibri" w:hAnsi="Calibri" w:cs="Calibri"/>
          <w:b/>
          <w:color w:val="008080"/>
        </w:rPr>
      </w:pPr>
      <w:r w:rsidRPr="003A15E8">
        <w:rPr>
          <w:rFonts w:ascii="Calibri" w:hAnsi="Calibri" w:cs="Calibri"/>
          <w:b/>
          <w:color w:val="008080"/>
        </w:rPr>
        <w:t xml:space="preserve">Membership of the THPP </w:t>
      </w:r>
    </w:p>
    <w:p w14:paraId="1E1580E3" w14:textId="77777777" w:rsidR="00A236CF" w:rsidRDefault="00A236CF" w:rsidP="009E1DEF">
      <w:pPr>
        <w:jc w:val="both"/>
        <w:rPr>
          <w:rFonts w:ascii="Calibri" w:hAnsi="Calibri" w:cs="Calibri"/>
          <w:lang w:eastAsia="en-US"/>
        </w:rPr>
      </w:pPr>
    </w:p>
    <w:p w14:paraId="39FE504B" w14:textId="7D57E0B9" w:rsidR="00A236CF" w:rsidRDefault="00A236CF" w:rsidP="009E1DEF">
      <w:pPr>
        <w:jc w:val="both"/>
        <w:rPr>
          <w:rFonts w:ascii="Calibri" w:hAnsi="Calibri" w:cs="Calibri"/>
          <w:lang w:eastAsia="en-US"/>
        </w:rPr>
      </w:pPr>
      <w:r>
        <w:rPr>
          <w:rFonts w:ascii="Calibri" w:hAnsi="Calibri" w:cs="Calibri"/>
          <w:lang w:eastAsia="en-US"/>
        </w:rPr>
        <w:t xml:space="preserve">Each agency must ensure that they have at least one representative able to attend the meeting. As such, a Lead Member and a Secondary </w:t>
      </w:r>
      <w:r w:rsidR="00605E4C">
        <w:rPr>
          <w:rFonts w:ascii="Calibri" w:hAnsi="Calibri" w:cs="Calibri"/>
          <w:lang w:eastAsia="en-US"/>
        </w:rPr>
        <w:t>M</w:t>
      </w:r>
      <w:r>
        <w:rPr>
          <w:rFonts w:ascii="Calibri" w:hAnsi="Calibri" w:cs="Calibri"/>
          <w:lang w:eastAsia="en-US"/>
        </w:rPr>
        <w:t xml:space="preserve">ember should be identified </w:t>
      </w:r>
      <w:proofErr w:type="gramStart"/>
      <w:r>
        <w:rPr>
          <w:rFonts w:ascii="Calibri" w:hAnsi="Calibri" w:cs="Calibri"/>
          <w:lang w:eastAsia="en-US"/>
        </w:rPr>
        <w:t>in the event that</w:t>
      </w:r>
      <w:proofErr w:type="gramEnd"/>
      <w:r>
        <w:rPr>
          <w:rFonts w:ascii="Calibri" w:hAnsi="Calibri" w:cs="Calibri"/>
          <w:lang w:eastAsia="en-US"/>
        </w:rPr>
        <w:t xml:space="preserve"> the Lead Member is unable to attend. </w:t>
      </w:r>
    </w:p>
    <w:p w14:paraId="6C5B2030" w14:textId="77777777" w:rsidR="00A236CF" w:rsidRDefault="00A236CF" w:rsidP="009E1DEF">
      <w:pPr>
        <w:jc w:val="both"/>
        <w:rPr>
          <w:rFonts w:ascii="Calibri" w:hAnsi="Calibri" w:cs="Calibri"/>
          <w:lang w:eastAsia="en-US"/>
        </w:rPr>
      </w:pPr>
    </w:p>
    <w:p w14:paraId="7EEED48F" w14:textId="3DBD0C99" w:rsidR="00A236CF" w:rsidRDefault="00A236CF" w:rsidP="009E1DEF">
      <w:pPr>
        <w:jc w:val="both"/>
        <w:rPr>
          <w:rFonts w:ascii="Calibri" w:hAnsi="Calibri" w:cs="Calibri"/>
          <w:lang w:eastAsia="en-US"/>
        </w:rPr>
      </w:pPr>
      <w:r>
        <w:rPr>
          <w:rFonts w:ascii="Calibri" w:hAnsi="Calibri" w:cs="Calibri"/>
          <w:lang w:eastAsia="en-US"/>
        </w:rPr>
        <w:t xml:space="preserve">The Lead </w:t>
      </w:r>
      <w:r w:rsidR="00605E4C">
        <w:rPr>
          <w:rFonts w:ascii="Calibri" w:hAnsi="Calibri" w:cs="Calibri"/>
          <w:lang w:eastAsia="en-US"/>
        </w:rPr>
        <w:t>M</w:t>
      </w:r>
      <w:r>
        <w:rPr>
          <w:rFonts w:ascii="Calibri" w:hAnsi="Calibri" w:cs="Calibri"/>
          <w:lang w:eastAsia="en-US"/>
        </w:rPr>
        <w:t xml:space="preserve">ember should be at a level </w:t>
      </w:r>
      <w:proofErr w:type="gramStart"/>
      <w:r>
        <w:rPr>
          <w:rFonts w:ascii="Calibri" w:hAnsi="Calibri" w:cs="Calibri"/>
          <w:lang w:eastAsia="en-US"/>
        </w:rPr>
        <w:t>so as to</w:t>
      </w:r>
      <w:proofErr w:type="gramEnd"/>
      <w:r>
        <w:rPr>
          <w:rFonts w:ascii="Calibri" w:hAnsi="Calibri" w:cs="Calibri"/>
          <w:lang w:eastAsia="en-US"/>
        </w:rPr>
        <w:t xml:space="preserve"> be able to make decisions for their agency at the meeting and will be expected to understand that dynamics of prostitution as well as recognition of prostitution as a form of V</w:t>
      </w:r>
      <w:r w:rsidR="003C7614">
        <w:rPr>
          <w:rFonts w:ascii="Calibri" w:hAnsi="Calibri" w:cs="Calibri"/>
          <w:lang w:eastAsia="en-US"/>
        </w:rPr>
        <w:t xml:space="preserve">iolence </w:t>
      </w:r>
      <w:r>
        <w:rPr>
          <w:rFonts w:ascii="Calibri" w:hAnsi="Calibri" w:cs="Calibri"/>
          <w:lang w:eastAsia="en-US"/>
        </w:rPr>
        <w:t>A</w:t>
      </w:r>
      <w:r w:rsidR="003C7614">
        <w:rPr>
          <w:rFonts w:ascii="Calibri" w:hAnsi="Calibri" w:cs="Calibri"/>
          <w:lang w:eastAsia="en-US"/>
        </w:rPr>
        <w:t xml:space="preserve">gainst </w:t>
      </w:r>
      <w:r>
        <w:rPr>
          <w:rFonts w:ascii="Calibri" w:hAnsi="Calibri" w:cs="Calibri"/>
          <w:lang w:eastAsia="en-US"/>
        </w:rPr>
        <w:t>W</w:t>
      </w:r>
      <w:r w:rsidR="003C7614">
        <w:rPr>
          <w:rFonts w:ascii="Calibri" w:hAnsi="Calibri" w:cs="Calibri"/>
          <w:lang w:eastAsia="en-US"/>
        </w:rPr>
        <w:t xml:space="preserve">omen and </w:t>
      </w:r>
      <w:r>
        <w:rPr>
          <w:rFonts w:ascii="Calibri" w:hAnsi="Calibri" w:cs="Calibri"/>
          <w:lang w:eastAsia="en-US"/>
        </w:rPr>
        <w:t>G</w:t>
      </w:r>
      <w:r w:rsidR="003C7614">
        <w:rPr>
          <w:rFonts w:ascii="Calibri" w:hAnsi="Calibri" w:cs="Calibri"/>
          <w:lang w:eastAsia="en-US"/>
        </w:rPr>
        <w:t>irls</w:t>
      </w:r>
      <w:r w:rsidR="00646A1A">
        <w:rPr>
          <w:rFonts w:ascii="Calibri" w:hAnsi="Calibri" w:cs="Calibri"/>
          <w:lang w:eastAsia="en-US"/>
        </w:rPr>
        <w:t xml:space="preserve"> (VAWG)</w:t>
      </w:r>
      <w:r>
        <w:rPr>
          <w:rFonts w:ascii="Calibri" w:hAnsi="Calibri" w:cs="Calibri"/>
          <w:lang w:eastAsia="en-US"/>
        </w:rPr>
        <w:t xml:space="preserve">. </w:t>
      </w:r>
    </w:p>
    <w:p w14:paraId="2B5D6D5C" w14:textId="77777777" w:rsidR="00A6712E" w:rsidRDefault="00A6712E" w:rsidP="009E1DEF">
      <w:pPr>
        <w:jc w:val="both"/>
        <w:rPr>
          <w:rFonts w:ascii="Calibri" w:hAnsi="Calibri" w:cs="Calibri"/>
          <w:lang w:eastAsia="en-US"/>
        </w:rPr>
      </w:pPr>
    </w:p>
    <w:p w14:paraId="3A391C31" w14:textId="77777777" w:rsidR="00A236CF" w:rsidRPr="00AC066D" w:rsidRDefault="00A236CF" w:rsidP="00F51508">
      <w:pPr>
        <w:pStyle w:val="ListParagraph"/>
        <w:numPr>
          <w:ilvl w:val="0"/>
          <w:numId w:val="2"/>
        </w:numPr>
        <w:ind w:left="426" w:hanging="426"/>
        <w:jc w:val="both"/>
        <w:rPr>
          <w:rFonts w:ascii="Calibri" w:hAnsi="Calibri" w:cs="Calibri"/>
          <w:b/>
          <w:color w:val="008080"/>
        </w:rPr>
      </w:pPr>
      <w:r w:rsidRPr="00AC066D">
        <w:rPr>
          <w:rFonts w:ascii="Calibri" w:hAnsi="Calibri" w:cs="Calibri"/>
          <w:b/>
          <w:color w:val="008080"/>
        </w:rPr>
        <w:t>Members’ Responsibilities</w:t>
      </w:r>
      <w:r w:rsidRPr="00AC066D">
        <w:rPr>
          <w:rFonts w:ascii="Calibri" w:hAnsi="Calibri" w:cs="Calibri"/>
          <w:b/>
          <w:color w:val="008080"/>
        </w:rPr>
        <w:tab/>
      </w:r>
    </w:p>
    <w:p w14:paraId="3BFB5F5D" w14:textId="77777777" w:rsidR="00A236CF" w:rsidRDefault="00A236CF" w:rsidP="00F51508">
      <w:pPr>
        <w:jc w:val="both"/>
        <w:rPr>
          <w:rFonts w:ascii="Calibri" w:hAnsi="Calibri" w:cs="Calibri"/>
          <w:b/>
        </w:rPr>
      </w:pPr>
    </w:p>
    <w:p w14:paraId="35864B47" w14:textId="77777777" w:rsidR="00A236CF" w:rsidRPr="000E0CDA" w:rsidRDefault="00A236CF" w:rsidP="00F51508">
      <w:pPr>
        <w:jc w:val="both"/>
        <w:rPr>
          <w:rFonts w:ascii="Calibri" w:hAnsi="Calibri" w:cs="Calibri"/>
        </w:rPr>
      </w:pPr>
      <w:r w:rsidRPr="000E0CDA">
        <w:rPr>
          <w:rFonts w:ascii="Calibri" w:hAnsi="Calibri" w:cs="Calibri"/>
        </w:rPr>
        <w:t xml:space="preserve">The members of the group are expected to fulfil the following responsibilities: </w:t>
      </w:r>
    </w:p>
    <w:p w14:paraId="7C02AA1F" w14:textId="77777777" w:rsidR="00A236CF" w:rsidRDefault="00A236CF" w:rsidP="00F51508">
      <w:pPr>
        <w:jc w:val="both"/>
        <w:rPr>
          <w:rFonts w:ascii="Calibri" w:hAnsi="Calibri" w:cs="Calibri"/>
        </w:rPr>
      </w:pPr>
    </w:p>
    <w:p w14:paraId="0D456478" w14:textId="77777777" w:rsidR="00A236CF" w:rsidRDefault="00A236CF" w:rsidP="00F51508">
      <w:pPr>
        <w:pStyle w:val="ListParagraph"/>
        <w:numPr>
          <w:ilvl w:val="0"/>
          <w:numId w:val="1"/>
        </w:numPr>
        <w:ind w:left="284" w:hanging="284"/>
        <w:jc w:val="both"/>
        <w:rPr>
          <w:rFonts w:ascii="Calibri" w:hAnsi="Calibri" w:cs="Calibri"/>
        </w:rPr>
      </w:pPr>
      <w:r>
        <w:rPr>
          <w:rFonts w:ascii="Calibri" w:hAnsi="Calibri" w:cs="Calibri"/>
        </w:rPr>
        <w:t xml:space="preserve">Attend meetings </w:t>
      </w:r>
      <w:proofErr w:type="gramStart"/>
      <w:r>
        <w:rPr>
          <w:rFonts w:ascii="Calibri" w:hAnsi="Calibri" w:cs="Calibri"/>
        </w:rPr>
        <w:t>on a monthly basis</w:t>
      </w:r>
      <w:proofErr w:type="gramEnd"/>
      <w:r>
        <w:rPr>
          <w:rFonts w:ascii="Calibri" w:hAnsi="Calibri" w:cs="Calibri"/>
        </w:rPr>
        <w:t xml:space="preserve"> (</w:t>
      </w:r>
      <w:r w:rsidR="00610DE6">
        <w:rPr>
          <w:rFonts w:ascii="Calibri" w:hAnsi="Calibri" w:cs="Calibri"/>
        </w:rPr>
        <w:t>12</w:t>
      </w:r>
      <w:r>
        <w:rPr>
          <w:rFonts w:ascii="Calibri" w:hAnsi="Calibri" w:cs="Calibri"/>
        </w:rPr>
        <w:t xml:space="preserve"> times per annum)</w:t>
      </w:r>
    </w:p>
    <w:p w14:paraId="3A2C1727" w14:textId="77777777" w:rsidR="00A236CF" w:rsidRDefault="00A236CF" w:rsidP="00F51508">
      <w:pPr>
        <w:pStyle w:val="ListParagraph"/>
        <w:numPr>
          <w:ilvl w:val="0"/>
          <w:numId w:val="1"/>
        </w:numPr>
        <w:ind w:left="284" w:hanging="284"/>
        <w:jc w:val="both"/>
        <w:rPr>
          <w:rFonts w:ascii="Calibri" w:hAnsi="Calibri" w:cs="Calibri"/>
        </w:rPr>
      </w:pPr>
      <w:r>
        <w:rPr>
          <w:rFonts w:ascii="Calibri" w:hAnsi="Calibri" w:cs="Calibri"/>
        </w:rPr>
        <w:t xml:space="preserve">Act as the main point of contact for their agency including providing additional information for the THPP </w:t>
      </w:r>
      <w:proofErr w:type="gramStart"/>
      <w:r>
        <w:rPr>
          <w:rFonts w:ascii="Calibri" w:hAnsi="Calibri" w:cs="Calibri"/>
        </w:rPr>
        <w:t>meetings</w:t>
      </w:r>
      <w:proofErr w:type="gramEnd"/>
    </w:p>
    <w:p w14:paraId="4880F88D" w14:textId="77777777" w:rsidR="00A236CF" w:rsidRDefault="00A236CF" w:rsidP="00F51508">
      <w:pPr>
        <w:pStyle w:val="ListParagraph"/>
        <w:numPr>
          <w:ilvl w:val="0"/>
          <w:numId w:val="1"/>
        </w:numPr>
        <w:ind w:left="284" w:hanging="284"/>
        <w:jc w:val="both"/>
        <w:rPr>
          <w:rFonts w:ascii="Calibri" w:hAnsi="Calibri" w:cs="Calibri"/>
        </w:rPr>
      </w:pPr>
      <w:r>
        <w:rPr>
          <w:rFonts w:ascii="Calibri" w:hAnsi="Calibri" w:cs="Calibri"/>
        </w:rPr>
        <w:lastRenderedPageBreak/>
        <w:t xml:space="preserve">Encourage their agency to make relevant referrals to the THPP where they are working on cases of </w:t>
      </w:r>
      <w:proofErr w:type="gramStart"/>
      <w:r>
        <w:rPr>
          <w:rFonts w:ascii="Calibri" w:hAnsi="Calibri" w:cs="Calibri"/>
        </w:rPr>
        <w:t>high risk</w:t>
      </w:r>
      <w:proofErr w:type="gramEnd"/>
      <w:r>
        <w:rPr>
          <w:rFonts w:ascii="Calibri" w:hAnsi="Calibri" w:cs="Calibri"/>
        </w:rPr>
        <w:t xml:space="preserve"> individuals involved in prostitution</w:t>
      </w:r>
    </w:p>
    <w:p w14:paraId="16CC1AB5" w14:textId="77777777" w:rsidR="00A236CF" w:rsidRDefault="00A236CF" w:rsidP="00F51508">
      <w:pPr>
        <w:pStyle w:val="ListParagraph"/>
        <w:numPr>
          <w:ilvl w:val="0"/>
          <w:numId w:val="1"/>
        </w:numPr>
        <w:ind w:left="284" w:hanging="284"/>
        <w:jc w:val="both"/>
        <w:rPr>
          <w:rFonts w:ascii="Calibri" w:hAnsi="Calibri" w:cs="Calibri"/>
        </w:rPr>
      </w:pPr>
      <w:r>
        <w:rPr>
          <w:rFonts w:ascii="Calibri" w:hAnsi="Calibri" w:cs="Calibri"/>
        </w:rPr>
        <w:t>Undertaking all agreed actions requested by the Chair of the THPP meeting</w:t>
      </w:r>
    </w:p>
    <w:p w14:paraId="2F29514B" w14:textId="77777777" w:rsidR="00A236CF" w:rsidRDefault="00A236CF" w:rsidP="00F51508">
      <w:pPr>
        <w:pStyle w:val="ListParagraph"/>
        <w:numPr>
          <w:ilvl w:val="0"/>
          <w:numId w:val="1"/>
        </w:numPr>
        <w:ind w:left="284" w:hanging="284"/>
        <w:jc w:val="both"/>
        <w:rPr>
          <w:rFonts w:ascii="Calibri" w:hAnsi="Calibri" w:cs="Calibri"/>
        </w:rPr>
      </w:pPr>
      <w:r>
        <w:rPr>
          <w:rFonts w:ascii="Calibri" w:hAnsi="Calibri" w:cs="Calibri"/>
        </w:rPr>
        <w:t xml:space="preserve">Ensure that cases are given the relevant ‘flagged’ priority on their own case management systems as well as ensuring all actions from the meeting are followed </w:t>
      </w:r>
      <w:proofErr w:type="gramStart"/>
      <w:r>
        <w:rPr>
          <w:rFonts w:ascii="Calibri" w:hAnsi="Calibri" w:cs="Calibri"/>
        </w:rPr>
        <w:t>up</w:t>
      </w:r>
      <w:proofErr w:type="gramEnd"/>
    </w:p>
    <w:p w14:paraId="5F208548" w14:textId="77777777" w:rsidR="00A236CF" w:rsidRDefault="00A236CF" w:rsidP="00F51508">
      <w:pPr>
        <w:pStyle w:val="ListParagraph"/>
        <w:numPr>
          <w:ilvl w:val="0"/>
          <w:numId w:val="1"/>
        </w:numPr>
        <w:ind w:left="284" w:hanging="284"/>
        <w:jc w:val="both"/>
        <w:rPr>
          <w:rFonts w:ascii="Calibri" w:hAnsi="Calibri" w:cs="Calibri"/>
        </w:rPr>
      </w:pPr>
      <w:r>
        <w:rPr>
          <w:rFonts w:ascii="Calibri" w:hAnsi="Calibri" w:cs="Calibri"/>
        </w:rPr>
        <w:t xml:space="preserve">Communicating all actions from the meeting to their agency to ensure that the actions are followed up in a timely </w:t>
      </w:r>
      <w:proofErr w:type="gramStart"/>
      <w:r>
        <w:rPr>
          <w:rFonts w:ascii="Calibri" w:hAnsi="Calibri" w:cs="Calibri"/>
        </w:rPr>
        <w:t>fashion</w:t>
      </w:r>
      <w:proofErr w:type="gramEnd"/>
    </w:p>
    <w:p w14:paraId="7DA60F97" w14:textId="431978A0" w:rsidR="00A236CF" w:rsidRPr="00F51508" w:rsidRDefault="00A236CF" w:rsidP="009E1DEF">
      <w:pPr>
        <w:pStyle w:val="ListParagraph"/>
        <w:numPr>
          <w:ilvl w:val="0"/>
          <w:numId w:val="1"/>
        </w:numPr>
        <w:ind w:left="284" w:hanging="284"/>
        <w:jc w:val="both"/>
        <w:rPr>
          <w:rFonts w:ascii="Calibri" w:hAnsi="Calibri" w:cs="Calibri"/>
        </w:rPr>
      </w:pPr>
      <w:r>
        <w:rPr>
          <w:rFonts w:ascii="Calibri" w:hAnsi="Calibri" w:cs="Calibri"/>
        </w:rPr>
        <w:t xml:space="preserve">Appoint a </w:t>
      </w:r>
      <w:r w:rsidR="00605E4C">
        <w:rPr>
          <w:rFonts w:ascii="Calibri" w:hAnsi="Calibri" w:cs="Calibri"/>
        </w:rPr>
        <w:t>S</w:t>
      </w:r>
      <w:r w:rsidR="00AC066D">
        <w:rPr>
          <w:rFonts w:ascii="Calibri" w:hAnsi="Calibri" w:cs="Calibri"/>
        </w:rPr>
        <w:t xml:space="preserve">econdary </w:t>
      </w:r>
      <w:r w:rsidR="00605E4C">
        <w:rPr>
          <w:rFonts w:ascii="Calibri" w:hAnsi="Calibri" w:cs="Calibri"/>
        </w:rPr>
        <w:t>M</w:t>
      </w:r>
      <w:r w:rsidR="00AC066D">
        <w:rPr>
          <w:rFonts w:ascii="Calibri" w:hAnsi="Calibri" w:cs="Calibri"/>
        </w:rPr>
        <w:t>ember</w:t>
      </w:r>
      <w:r>
        <w:rPr>
          <w:rFonts w:ascii="Calibri" w:hAnsi="Calibri" w:cs="Calibri"/>
        </w:rPr>
        <w:t xml:space="preserve"> in the event they are unable to attend the monthly meeting</w:t>
      </w:r>
      <w:r w:rsidR="00AC066D">
        <w:rPr>
          <w:rFonts w:ascii="Calibri" w:hAnsi="Calibri" w:cs="Calibri"/>
        </w:rPr>
        <w:t>.</w:t>
      </w:r>
    </w:p>
    <w:p w14:paraId="66B11E65" w14:textId="77777777" w:rsidR="00A236CF" w:rsidRDefault="00A236CF" w:rsidP="009E1DEF">
      <w:pPr>
        <w:jc w:val="both"/>
        <w:rPr>
          <w:rFonts w:ascii="Calibri" w:hAnsi="Calibri" w:cs="Calibri"/>
          <w:lang w:eastAsia="en-US"/>
        </w:rPr>
      </w:pPr>
    </w:p>
    <w:p w14:paraId="33E8035A" w14:textId="77777777" w:rsidR="00A236CF" w:rsidRPr="00AC066D" w:rsidRDefault="00A236CF" w:rsidP="00977890">
      <w:pPr>
        <w:pStyle w:val="ListParagraph"/>
        <w:numPr>
          <w:ilvl w:val="0"/>
          <w:numId w:val="2"/>
        </w:numPr>
        <w:ind w:left="426" w:hanging="426"/>
        <w:jc w:val="both"/>
        <w:rPr>
          <w:rFonts w:ascii="Calibri" w:hAnsi="Calibri" w:cs="Calibri"/>
          <w:b/>
          <w:color w:val="008080"/>
          <w:lang w:eastAsia="en-US"/>
        </w:rPr>
      </w:pPr>
      <w:r w:rsidRPr="00AC066D">
        <w:rPr>
          <w:rFonts w:ascii="Calibri" w:hAnsi="Calibri" w:cs="Calibri"/>
          <w:b/>
          <w:color w:val="008080"/>
          <w:lang w:eastAsia="en-US"/>
        </w:rPr>
        <w:t>Attendance by other professionals</w:t>
      </w:r>
    </w:p>
    <w:p w14:paraId="66D5546E" w14:textId="77777777" w:rsidR="00A236CF" w:rsidRPr="00977890" w:rsidRDefault="00A236CF" w:rsidP="00977890">
      <w:pPr>
        <w:pStyle w:val="ListParagraph"/>
        <w:ind w:left="426"/>
        <w:jc w:val="both"/>
        <w:rPr>
          <w:rFonts w:ascii="Calibri" w:hAnsi="Calibri" w:cs="Calibri"/>
          <w:b/>
          <w:lang w:eastAsia="en-US"/>
        </w:rPr>
      </w:pPr>
    </w:p>
    <w:p w14:paraId="2114FDC5" w14:textId="0B7CF0D0" w:rsidR="00A236CF" w:rsidRDefault="00A236CF" w:rsidP="00977890">
      <w:pPr>
        <w:jc w:val="both"/>
        <w:rPr>
          <w:rFonts w:ascii="Calibri" w:hAnsi="Calibri" w:cs="Calibri"/>
          <w:lang w:eastAsia="en-US"/>
        </w:rPr>
      </w:pPr>
      <w:r w:rsidRPr="00977890">
        <w:rPr>
          <w:rFonts w:ascii="Calibri" w:hAnsi="Calibri" w:cs="Calibri"/>
          <w:lang w:eastAsia="en-US"/>
        </w:rPr>
        <w:t xml:space="preserve">Other agencies or professionals may be invited to attend the multi-agency meeting if they are involved in a specific case due for discussion. Any such invitations must be agreed by </w:t>
      </w:r>
      <w:r w:rsidR="003E4FBE">
        <w:rPr>
          <w:rFonts w:ascii="Calibri" w:hAnsi="Calibri" w:cs="Calibri"/>
          <w:lang w:eastAsia="en-US"/>
        </w:rPr>
        <w:t>Beyond the Streets</w:t>
      </w:r>
      <w:r w:rsidRPr="00977890">
        <w:rPr>
          <w:rFonts w:ascii="Calibri" w:hAnsi="Calibri" w:cs="Calibri"/>
          <w:lang w:eastAsia="en-US"/>
        </w:rPr>
        <w:t xml:space="preserve"> in advance of the meeting. Invitations will be to participate in discussions of a specific case, not to attend the whole meeting. Observers to the meeting are to be agreed by </w:t>
      </w:r>
      <w:r w:rsidR="003E4FBE">
        <w:rPr>
          <w:rFonts w:ascii="Calibri" w:hAnsi="Calibri" w:cs="Calibri"/>
          <w:lang w:eastAsia="en-US"/>
        </w:rPr>
        <w:t>Beyond the Streets.</w:t>
      </w:r>
      <w:r w:rsidRPr="00977890">
        <w:rPr>
          <w:rFonts w:ascii="Calibri" w:hAnsi="Calibri" w:cs="Calibri"/>
          <w:lang w:eastAsia="en-US"/>
        </w:rPr>
        <w:t xml:space="preserve">  All persons at the meeting will be asked to read and sign the attendance list and confidentiality agreement. This is to ensure those attending agree and abide to the multi-agency information sharing principles.</w:t>
      </w:r>
    </w:p>
    <w:p w14:paraId="3D582112" w14:textId="77777777" w:rsidR="00A236CF" w:rsidRDefault="00A236CF" w:rsidP="00977890">
      <w:pPr>
        <w:jc w:val="both"/>
        <w:rPr>
          <w:rFonts w:ascii="Calibri" w:hAnsi="Calibri" w:cs="Calibri"/>
          <w:lang w:eastAsia="en-US"/>
        </w:rPr>
      </w:pPr>
    </w:p>
    <w:p w14:paraId="78F97359" w14:textId="3FA70BF2" w:rsidR="00A236CF" w:rsidRPr="0047764F" w:rsidRDefault="00A236CF" w:rsidP="00E80055">
      <w:pPr>
        <w:pStyle w:val="ListParagraph"/>
        <w:numPr>
          <w:ilvl w:val="0"/>
          <w:numId w:val="2"/>
        </w:numPr>
        <w:ind w:left="426" w:hanging="426"/>
        <w:jc w:val="both"/>
        <w:rPr>
          <w:rFonts w:ascii="Calibri" w:hAnsi="Calibri" w:cs="Calibri"/>
          <w:b/>
          <w:color w:val="008080"/>
          <w:lang w:eastAsia="en-US"/>
        </w:rPr>
      </w:pPr>
      <w:r w:rsidRPr="0047764F">
        <w:rPr>
          <w:rFonts w:ascii="Calibri" w:hAnsi="Calibri" w:cs="Calibri"/>
          <w:b/>
          <w:color w:val="008080"/>
          <w:lang w:eastAsia="en-US"/>
        </w:rPr>
        <w:t xml:space="preserve">Attendance by </w:t>
      </w:r>
      <w:r w:rsidR="00A4267A">
        <w:rPr>
          <w:rFonts w:ascii="Calibri" w:hAnsi="Calibri" w:cs="Calibri"/>
          <w:b/>
          <w:color w:val="008080"/>
          <w:lang w:eastAsia="en-US"/>
        </w:rPr>
        <w:t xml:space="preserve">those referred </w:t>
      </w:r>
      <w:r w:rsidRPr="0047764F">
        <w:rPr>
          <w:rFonts w:ascii="Calibri" w:hAnsi="Calibri" w:cs="Calibri"/>
          <w:b/>
          <w:color w:val="008080"/>
          <w:lang w:eastAsia="en-US"/>
        </w:rPr>
        <w:t xml:space="preserve">and/or their </w:t>
      </w:r>
      <w:proofErr w:type="gramStart"/>
      <w:r w:rsidRPr="0047764F">
        <w:rPr>
          <w:rFonts w:ascii="Calibri" w:hAnsi="Calibri" w:cs="Calibri"/>
          <w:b/>
          <w:color w:val="008080"/>
          <w:lang w:eastAsia="en-US"/>
        </w:rPr>
        <w:t>Families</w:t>
      </w:r>
      <w:proofErr w:type="gramEnd"/>
    </w:p>
    <w:p w14:paraId="14CB05EF" w14:textId="77777777" w:rsidR="00A236CF" w:rsidRDefault="00A236CF" w:rsidP="00E80055">
      <w:pPr>
        <w:jc w:val="both"/>
        <w:rPr>
          <w:rFonts w:ascii="Calibri" w:hAnsi="Calibri" w:cs="Calibri"/>
          <w:lang w:eastAsia="en-US"/>
        </w:rPr>
      </w:pPr>
    </w:p>
    <w:p w14:paraId="4BAF6B2E" w14:textId="5F4C5E3B" w:rsidR="00A236CF" w:rsidRDefault="00A236CF" w:rsidP="000C339F">
      <w:pPr>
        <w:autoSpaceDE w:val="0"/>
        <w:autoSpaceDN w:val="0"/>
        <w:adjustRightInd w:val="0"/>
        <w:jc w:val="both"/>
        <w:rPr>
          <w:rFonts w:ascii="Calibri" w:hAnsi="Calibri" w:cs="Calibri"/>
        </w:rPr>
      </w:pPr>
      <w:r w:rsidRPr="000C339F">
        <w:rPr>
          <w:rFonts w:ascii="Calibri" w:hAnsi="Calibri" w:cs="Calibri"/>
        </w:rPr>
        <w:t>Due to the nature of</w:t>
      </w:r>
      <w:r w:rsidR="00A4267A">
        <w:rPr>
          <w:rFonts w:ascii="Calibri" w:hAnsi="Calibri" w:cs="Calibri"/>
        </w:rPr>
        <w:t xml:space="preserve"> the discussions at the THPP, those </w:t>
      </w:r>
      <w:proofErr w:type="gramStart"/>
      <w:r w:rsidR="00A4267A">
        <w:rPr>
          <w:rFonts w:ascii="Calibri" w:hAnsi="Calibri" w:cs="Calibri"/>
        </w:rPr>
        <w:t>referred</w:t>
      </w:r>
      <w:proofErr w:type="gramEnd"/>
      <w:r w:rsidR="00A4267A">
        <w:rPr>
          <w:rFonts w:ascii="Calibri" w:hAnsi="Calibri" w:cs="Calibri"/>
        </w:rPr>
        <w:t xml:space="preserve"> and</w:t>
      </w:r>
      <w:r w:rsidRPr="000C339F">
        <w:rPr>
          <w:rFonts w:ascii="Calibri" w:hAnsi="Calibri" w:cs="Calibri"/>
        </w:rPr>
        <w:t xml:space="preserve"> family members or other interested parties will not be invited to attend. They may however make their concerns known to the THPP via the referring agency or their advocate or by writing to </w:t>
      </w:r>
      <w:r w:rsidR="00D65237">
        <w:rPr>
          <w:rFonts w:ascii="Calibri" w:hAnsi="Calibri" w:cs="Calibri"/>
        </w:rPr>
        <w:t>Beyond the Streets.</w:t>
      </w:r>
      <w:r w:rsidRPr="000C339F">
        <w:rPr>
          <w:rFonts w:ascii="Calibri" w:hAnsi="Calibri" w:cs="Calibri"/>
        </w:rPr>
        <w:t xml:space="preserve"> </w:t>
      </w:r>
    </w:p>
    <w:p w14:paraId="23AF96E2" w14:textId="77777777" w:rsidR="00A236CF" w:rsidRDefault="00A236CF" w:rsidP="000C339F">
      <w:pPr>
        <w:autoSpaceDE w:val="0"/>
        <w:autoSpaceDN w:val="0"/>
        <w:adjustRightInd w:val="0"/>
        <w:jc w:val="both"/>
        <w:rPr>
          <w:rFonts w:ascii="Calibri" w:hAnsi="Calibri" w:cs="Calibri"/>
        </w:rPr>
      </w:pPr>
    </w:p>
    <w:p w14:paraId="223C2768" w14:textId="77777777" w:rsidR="00A236CF" w:rsidRPr="0047764F" w:rsidRDefault="00A236CF" w:rsidP="00C94898">
      <w:pPr>
        <w:pStyle w:val="ListParagraph"/>
        <w:numPr>
          <w:ilvl w:val="0"/>
          <w:numId w:val="2"/>
        </w:numPr>
        <w:autoSpaceDE w:val="0"/>
        <w:autoSpaceDN w:val="0"/>
        <w:adjustRightInd w:val="0"/>
        <w:ind w:left="426" w:hanging="426"/>
        <w:jc w:val="both"/>
        <w:rPr>
          <w:rFonts w:ascii="Calibri" w:hAnsi="Calibri" w:cs="Calibri"/>
          <w:b/>
          <w:color w:val="008080"/>
        </w:rPr>
      </w:pPr>
      <w:r w:rsidRPr="0047764F">
        <w:rPr>
          <w:rFonts w:ascii="Calibri" w:hAnsi="Calibri" w:cs="Calibri"/>
          <w:b/>
          <w:color w:val="008080"/>
        </w:rPr>
        <w:t>Referral Criteria for the THPP</w:t>
      </w:r>
    </w:p>
    <w:p w14:paraId="78C0894F" w14:textId="77777777" w:rsidR="00A236CF" w:rsidRPr="00C94898" w:rsidRDefault="00A236CF" w:rsidP="00C94898">
      <w:pPr>
        <w:autoSpaceDE w:val="0"/>
        <w:autoSpaceDN w:val="0"/>
        <w:adjustRightInd w:val="0"/>
        <w:jc w:val="both"/>
        <w:rPr>
          <w:rFonts w:ascii="Calibri" w:hAnsi="Calibri" w:cs="Calibri"/>
        </w:rPr>
      </w:pPr>
    </w:p>
    <w:p w14:paraId="0D609550" w14:textId="1CF1A2AC" w:rsidR="00A236CF" w:rsidRDefault="00A236CF" w:rsidP="00286AEA">
      <w:pPr>
        <w:jc w:val="both"/>
        <w:rPr>
          <w:rFonts w:ascii="Calibri" w:hAnsi="Calibri" w:cs="Calibri"/>
        </w:rPr>
      </w:pPr>
      <w:r>
        <w:rPr>
          <w:rFonts w:ascii="Calibri" w:hAnsi="Calibri" w:cs="Calibri"/>
        </w:rPr>
        <w:t xml:space="preserve">To be discussed at the THPP meetings the individual must be currently involved in </w:t>
      </w:r>
      <w:r w:rsidR="003C7614">
        <w:rPr>
          <w:rFonts w:ascii="Calibri" w:hAnsi="Calibri" w:cs="Calibri"/>
        </w:rPr>
        <w:t xml:space="preserve">selling sex </w:t>
      </w:r>
      <w:r>
        <w:rPr>
          <w:rFonts w:ascii="Calibri" w:hAnsi="Calibri" w:cs="Calibri"/>
        </w:rPr>
        <w:t>in the borough and be over the age of 18. They must be assessed as being high risk</w:t>
      </w:r>
      <w:r w:rsidR="00C14850">
        <w:rPr>
          <w:rFonts w:ascii="Calibri" w:hAnsi="Calibri" w:cs="Calibri"/>
        </w:rPr>
        <w:t xml:space="preserve"> </w:t>
      </w:r>
      <w:r w:rsidR="0039129D">
        <w:rPr>
          <w:rFonts w:ascii="Calibri" w:hAnsi="Calibri" w:cs="Calibri"/>
        </w:rPr>
        <w:t>according to the red flag vulnerabilities</w:t>
      </w:r>
      <w:r w:rsidR="003F3709">
        <w:rPr>
          <w:rFonts w:ascii="Calibri" w:hAnsi="Calibri" w:cs="Calibri"/>
        </w:rPr>
        <w:t xml:space="preserve"> outlined in the THPP Referral Form</w:t>
      </w:r>
      <w:r w:rsidR="0039129D">
        <w:rPr>
          <w:rFonts w:ascii="Calibri" w:hAnsi="Calibri" w:cs="Calibri"/>
        </w:rPr>
        <w:t xml:space="preserve"> and</w:t>
      </w:r>
      <w:r>
        <w:rPr>
          <w:rFonts w:ascii="Calibri" w:hAnsi="Calibri" w:cs="Calibri"/>
        </w:rPr>
        <w:t xml:space="preserve"> in need of a holistic, multi-agency response to reduce and harm to them or to their children. </w:t>
      </w:r>
    </w:p>
    <w:p w14:paraId="4D4CCA0C" w14:textId="77777777" w:rsidR="00A236CF" w:rsidRDefault="00A236CF" w:rsidP="00286AEA">
      <w:pPr>
        <w:jc w:val="both"/>
        <w:rPr>
          <w:rFonts w:ascii="Calibri" w:hAnsi="Calibri" w:cs="Calibri"/>
        </w:rPr>
      </w:pPr>
    </w:p>
    <w:p w14:paraId="15EFF9BD" w14:textId="2914199A" w:rsidR="00A236CF" w:rsidRDefault="00A236CF" w:rsidP="00286AEA">
      <w:pPr>
        <w:jc w:val="both"/>
        <w:rPr>
          <w:rFonts w:ascii="Calibri" w:hAnsi="Calibri" w:cs="Calibri"/>
        </w:rPr>
      </w:pPr>
      <w:r>
        <w:rPr>
          <w:rFonts w:ascii="Calibri" w:hAnsi="Calibri" w:cs="Calibri"/>
        </w:rPr>
        <w:t xml:space="preserve">There are currently two criteria, one of which must be met for the case to be referred to the THPP: </w:t>
      </w:r>
    </w:p>
    <w:p w14:paraId="0326E99D" w14:textId="7AAA1135" w:rsidR="00E87C76" w:rsidRDefault="00E87C76" w:rsidP="00286AEA">
      <w:pPr>
        <w:jc w:val="both"/>
        <w:rPr>
          <w:rFonts w:ascii="Calibri" w:hAnsi="Calibri" w:cs="Calibri"/>
        </w:rPr>
      </w:pPr>
    </w:p>
    <w:p w14:paraId="7A4B53EA" w14:textId="77777777" w:rsidR="00E87C76" w:rsidRPr="00E87C76" w:rsidRDefault="00E87C76" w:rsidP="00E87C76">
      <w:pPr>
        <w:jc w:val="both"/>
        <w:rPr>
          <w:rFonts w:ascii="Calibri" w:hAnsi="Calibri" w:cs="Calibri"/>
          <w:i/>
          <w:color w:val="008080"/>
        </w:rPr>
      </w:pPr>
      <w:r w:rsidRPr="00E87C76">
        <w:rPr>
          <w:rFonts w:ascii="Calibri" w:hAnsi="Calibri" w:cs="Calibri"/>
          <w:i/>
          <w:color w:val="008080"/>
        </w:rPr>
        <w:t>Professional Judgement</w:t>
      </w:r>
    </w:p>
    <w:p w14:paraId="36DF38A9" w14:textId="77777777" w:rsidR="00E87C76" w:rsidRPr="00E87C76" w:rsidRDefault="00E87C76" w:rsidP="00E87C76">
      <w:pPr>
        <w:jc w:val="both"/>
        <w:rPr>
          <w:rFonts w:ascii="Calibri" w:hAnsi="Calibri" w:cs="Calibri"/>
          <w:i/>
        </w:rPr>
      </w:pPr>
    </w:p>
    <w:p w14:paraId="69631BC2" w14:textId="5739194D" w:rsidR="00E87C76" w:rsidRPr="00E87C76" w:rsidRDefault="00E87C76" w:rsidP="00E87C76">
      <w:pPr>
        <w:autoSpaceDE w:val="0"/>
        <w:autoSpaceDN w:val="0"/>
        <w:adjustRightInd w:val="0"/>
        <w:jc w:val="both"/>
        <w:rPr>
          <w:rFonts w:ascii="Calibri" w:hAnsi="Calibri" w:cs="Calibri"/>
          <w:color w:val="000000"/>
        </w:rPr>
      </w:pPr>
      <w:r w:rsidRPr="00E87C76">
        <w:rPr>
          <w:rFonts w:ascii="Calibri" w:hAnsi="Calibri" w:cs="Calibri"/>
          <w:color w:val="000000"/>
        </w:rPr>
        <w:t xml:space="preserve">If a professional has serious concerns about a situation, they should refer the case to the THPP. There will be occasions where the </w:t>
      </w:r>
      <w:proofErr w:type="gramStart"/>
      <w:r w:rsidRPr="00E87C76">
        <w:rPr>
          <w:rFonts w:ascii="Calibri" w:hAnsi="Calibri" w:cs="Calibri"/>
          <w:color w:val="000000"/>
        </w:rPr>
        <w:t>particular context</w:t>
      </w:r>
      <w:proofErr w:type="gramEnd"/>
      <w:r w:rsidRPr="00E87C76">
        <w:rPr>
          <w:rFonts w:ascii="Calibri" w:hAnsi="Calibri" w:cs="Calibri"/>
          <w:color w:val="000000"/>
        </w:rPr>
        <w:t xml:space="preserve"> of a case gives rise to serious concerns even if the individual concerned has been unable to disclose the information that might highlight their risk more clearly. This could reflect extreme levels of fear, cultural barriers particularly in cases of so-called ‘honour’ based violence. This judgement would be based on the experience of the professional and/or individual’s perception of the risk faced. </w:t>
      </w:r>
    </w:p>
    <w:p w14:paraId="324C9729" w14:textId="77777777" w:rsidR="00A6712E" w:rsidRPr="00E87C76" w:rsidRDefault="00A6712E" w:rsidP="0047764F">
      <w:pPr>
        <w:jc w:val="both"/>
        <w:rPr>
          <w:rFonts w:ascii="Calibri" w:hAnsi="Calibri" w:cs="Calibri"/>
          <w:i/>
        </w:rPr>
      </w:pPr>
    </w:p>
    <w:p w14:paraId="3F4FCF05" w14:textId="77777777" w:rsidR="00A236CF" w:rsidRPr="00E87C76" w:rsidRDefault="00A236CF" w:rsidP="00A6712E">
      <w:pPr>
        <w:ind w:left="-709" w:firstLine="709"/>
        <w:jc w:val="both"/>
        <w:rPr>
          <w:rFonts w:ascii="Calibri" w:hAnsi="Calibri" w:cs="Calibri"/>
          <w:i/>
          <w:color w:val="008080"/>
        </w:rPr>
      </w:pPr>
      <w:r w:rsidRPr="00E87C76">
        <w:rPr>
          <w:rFonts w:ascii="Calibri" w:hAnsi="Calibri" w:cs="Calibri"/>
          <w:i/>
          <w:color w:val="008080"/>
        </w:rPr>
        <w:t>Escalation</w:t>
      </w:r>
    </w:p>
    <w:p w14:paraId="73C5C576" w14:textId="77777777" w:rsidR="00A236CF" w:rsidRPr="00E87C76" w:rsidRDefault="00A236CF" w:rsidP="00286AEA">
      <w:pPr>
        <w:jc w:val="both"/>
        <w:rPr>
          <w:rFonts w:ascii="Calibri" w:hAnsi="Calibri" w:cs="Calibri"/>
          <w:i/>
        </w:rPr>
      </w:pPr>
    </w:p>
    <w:p w14:paraId="0535271F" w14:textId="524AC549" w:rsidR="00A6712E" w:rsidRPr="00E87C76" w:rsidRDefault="00A236CF" w:rsidP="00286AEA">
      <w:pPr>
        <w:jc w:val="both"/>
        <w:rPr>
          <w:rFonts w:ascii="Calibri" w:hAnsi="Calibri" w:cs="Calibri"/>
        </w:rPr>
      </w:pPr>
      <w:r w:rsidRPr="00E87C76">
        <w:rPr>
          <w:rFonts w:ascii="Calibri" w:hAnsi="Calibri" w:cs="Calibri"/>
        </w:rPr>
        <w:lastRenderedPageBreak/>
        <w:t xml:space="preserve">If there has been a marked increase in the number of police callouts/arrests in the past 12 months or if </w:t>
      </w:r>
      <w:proofErr w:type="gramStart"/>
      <w:r w:rsidRPr="00E87C76">
        <w:rPr>
          <w:rFonts w:ascii="Calibri" w:hAnsi="Calibri" w:cs="Calibri"/>
        </w:rPr>
        <w:t>a number of</w:t>
      </w:r>
      <w:proofErr w:type="gramEnd"/>
      <w:r w:rsidRPr="00E87C76">
        <w:rPr>
          <w:rFonts w:ascii="Calibri" w:hAnsi="Calibri" w:cs="Calibri"/>
        </w:rPr>
        <w:t xml:space="preserve"> </w:t>
      </w:r>
      <w:r w:rsidR="00E87C76" w:rsidRPr="00E87C76">
        <w:rPr>
          <w:rFonts w:ascii="Calibri" w:hAnsi="Calibri" w:cs="Calibri"/>
        </w:rPr>
        <w:t>referrals into the court diversion scheme have been imposed and the individual has not attended compulsory meetings</w:t>
      </w:r>
      <w:r w:rsidRPr="00E87C76">
        <w:rPr>
          <w:rFonts w:ascii="Calibri" w:hAnsi="Calibri" w:cs="Calibri"/>
        </w:rPr>
        <w:t xml:space="preserve">, the </w:t>
      </w:r>
      <w:r w:rsidR="00C14850" w:rsidRPr="00E87C76">
        <w:rPr>
          <w:rFonts w:ascii="Calibri" w:hAnsi="Calibri" w:cs="Calibri"/>
        </w:rPr>
        <w:t xml:space="preserve">individual affected </w:t>
      </w:r>
      <w:r w:rsidRPr="00E87C76">
        <w:rPr>
          <w:rFonts w:ascii="Calibri" w:hAnsi="Calibri" w:cs="Calibri"/>
        </w:rPr>
        <w:t xml:space="preserve">should be referred to the THPP. </w:t>
      </w:r>
    </w:p>
    <w:p w14:paraId="632A8F6D" w14:textId="77777777" w:rsidR="00A6712E" w:rsidRPr="0047764F" w:rsidRDefault="00A6712E" w:rsidP="00286AEA">
      <w:pPr>
        <w:jc w:val="both"/>
        <w:rPr>
          <w:rFonts w:ascii="Calibri" w:hAnsi="Calibri" w:cs="Calibri"/>
          <w:i/>
          <w:highlight w:val="yellow"/>
        </w:rPr>
      </w:pPr>
    </w:p>
    <w:p w14:paraId="4931046F" w14:textId="77777777" w:rsidR="00A236CF" w:rsidRPr="00651772" w:rsidRDefault="00A236CF" w:rsidP="00651772">
      <w:pPr>
        <w:autoSpaceDE w:val="0"/>
        <w:autoSpaceDN w:val="0"/>
        <w:adjustRightInd w:val="0"/>
        <w:jc w:val="both"/>
        <w:rPr>
          <w:rFonts w:ascii="Calibri" w:hAnsi="Calibri" w:cs="Calibri"/>
          <w:color w:val="000000"/>
        </w:rPr>
      </w:pPr>
    </w:p>
    <w:p w14:paraId="7883E645" w14:textId="77777777" w:rsidR="00A236CF" w:rsidRPr="0047764F" w:rsidRDefault="00A236CF" w:rsidP="00C94898">
      <w:pPr>
        <w:pStyle w:val="ListParagraph"/>
        <w:numPr>
          <w:ilvl w:val="0"/>
          <w:numId w:val="2"/>
        </w:numPr>
        <w:ind w:left="426" w:hanging="426"/>
        <w:jc w:val="both"/>
        <w:rPr>
          <w:rFonts w:ascii="Calibri" w:hAnsi="Calibri" w:cs="Calibri"/>
          <w:b/>
          <w:color w:val="008080"/>
        </w:rPr>
      </w:pPr>
      <w:r w:rsidRPr="0047764F">
        <w:rPr>
          <w:rFonts w:ascii="Calibri" w:hAnsi="Calibri" w:cs="Calibri"/>
          <w:b/>
          <w:color w:val="008080"/>
        </w:rPr>
        <w:t>Referral to the THPP Meeting</w:t>
      </w:r>
    </w:p>
    <w:p w14:paraId="7725DDFF" w14:textId="77777777" w:rsidR="00A236CF" w:rsidRPr="00286AEA" w:rsidRDefault="00A236CF" w:rsidP="00286AEA">
      <w:pPr>
        <w:ind w:left="284" w:hanging="284"/>
        <w:jc w:val="both"/>
        <w:rPr>
          <w:rFonts w:ascii="Calibri" w:hAnsi="Calibri" w:cs="Calibri"/>
          <w:b/>
        </w:rPr>
      </w:pPr>
    </w:p>
    <w:p w14:paraId="02C28670" w14:textId="7E55A39F" w:rsidR="00A236CF" w:rsidRDefault="00A236CF" w:rsidP="00286AEA">
      <w:pPr>
        <w:jc w:val="both"/>
        <w:rPr>
          <w:rFonts w:ascii="Calibri" w:hAnsi="Calibri" w:cs="Calibri"/>
        </w:rPr>
      </w:pPr>
      <w:r>
        <w:rPr>
          <w:rFonts w:ascii="Calibri" w:hAnsi="Calibri" w:cs="Calibri"/>
        </w:rPr>
        <w:t xml:space="preserve">Any member of the THPP may refer a case to the meeting by completing the referral form, consent form (or ‘without consent’ form) and providing details to </w:t>
      </w:r>
      <w:r w:rsidR="007C0A1E">
        <w:rPr>
          <w:rFonts w:ascii="Calibri" w:hAnsi="Calibri" w:cs="Calibri"/>
        </w:rPr>
        <w:t>Beyond the Streets</w:t>
      </w:r>
      <w:r w:rsidR="006057B1">
        <w:rPr>
          <w:rFonts w:ascii="Calibri" w:hAnsi="Calibri" w:cs="Calibri"/>
        </w:rPr>
        <w:t xml:space="preserve"> </w:t>
      </w:r>
      <w:r>
        <w:rPr>
          <w:rFonts w:ascii="Calibri" w:hAnsi="Calibri" w:cs="Calibri"/>
        </w:rPr>
        <w:t xml:space="preserve">for inclusion at the next meeting. </w:t>
      </w:r>
    </w:p>
    <w:p w14:paraId="7BAC2178" w14:textId="77777777" w:rsidR="00A236CF" w:rsidRDefault="00A236CF" w:rsidP="00286AEA">
      <w:pPr>
        <w:jc w:val="both"/>
        <w:rPr>
          <w:rFonts w:ascii="Calibri" w:hAnsi="Calibri" w:cs="Calibri"/>
        </w:rPr>
      </w:pPr>
    </w:p>
    <w:p w14:paraId="158CEDF0" w14:textId="77777777" w:rsidR="00A236CF" w:rsidRDefault="007C0A1E" w:rsidP="00286AEA">
      <w:pPr>
        <w:jc w:val="both"/>
        <w:rPr>
          <w:rFonts w:ascii="Calibri" w:hAnsi="Calibri" w:cs="Calibri"/>
        </w:rPr>
      </w:pPr>
      <w:r>
        <w:rPr>
          <w:rFonts w:ascii="Calibri" w:hAnsi="Calibri" w:cs="Calibri"/>
        </w:rPr>
        <w:t>All referrals must be submitted</w:t>
      </w:r>
      <w:r w:rsidR="00A236CF">
        <w:rPr>
          <w:rFonts w:ascii="Calibri" w:hAnsi="Calibri" w:cs="Calibri"/>
        </w:rPr>
        <w:t xml:space="preserve"> by completing the referral form in its entirety. Incomplete forms will be returned for further details. </w:t>
      </w:r>
    </w:p>
    <w:p w14:paraId="5A90C59C" w14:textId="77777777" w:rsidR="00A236CF" w:rsidRDefault="00A236CF" w:rsidP="00286AEA">
      <w:pPr>
        <w:jc w:val="both"/>
        <w:rPr>
          <w:rFonts w:ascii="Calibri" w:hAnsi="Calibri" w:cs="Calibri"/>
        </w:rPr>
      </w:pPr>
    </w:p>
    <w:p w14:paraId="7EF9DF10" w14:textId="3672F922" w:rsidR="00A236CF" w:rsidRDefault="00A236CF" w:rsidP="00286AEA">
      <w:pPr>
        <w:jc w:val="both"/>
        <w:rPr>
          <w:rFonts w:ascii="Calibri" w:hAnsi="Calibri" w:cs="Calibri"/>
        </w:rPr>
      </w:pPr>
      <w:r>
        <w:rPr>
          <w:rFonts w:ascii="Calibri" w:hAnsi="Calibri" w:cs="Calibri"/>
        </w:rPr>
        <w:t xml:space="preserve">The deadline for receipt of referrals will be </w:t>
      </w:r>
      <w:r w:rsidR="00FD135C">
        <w:rPr>
          <w:rFonts w:ascii="Calibri" w:hAnsi="Calibri" w:cs="Calibri"/>
        </w:rPr>
        <w:t>7</w:t>
      </w:r>
      <w:r>
        <w:rPr>
          <w:rFonts w:ascii="Calibri" w:hAnsi="Calibri" w:cs="Calibri"/>
        </w:rPr>
        <w:t xml:space="preserve"> working days before the next meeting unless there are exceptional circumstances – </w:t>
      </w:r>
      <w:r w:rsidR="00C14850">
        <w:rPr>
          <w:rFonts w:ascii="Calibri" w:hAnsi="Calibri" w:cs="Calibri"/>
        </w:rPr>
        <w:t xml:space="preserve">in </w:t>
      </w:r>
      <w:r>
        <w:rPr>
          <w:rFonts w:ascii="Calibri" w:hAnsi="Calibri" w:cs="Calibri"/>
        </w:rPr>
        <w:t xml:space="preserve">extremely </w:t>
      </w:r>
      <w:r w:rsidR="00D55777">
        <w:rPr>
          <w:rFonts w:ascii="Calibri" w:hAnsi="Calibri" w:cs="Calibri"/>
        </w:rPr>
        <w:t>high-risk</w:t>
      </w:r>
      <w:r>
        <w:rPr>
          <w:rFonts w:ascii="Calibri" w:hAnsi="Calibri" w:cs="Calibri"/>
        </w:rPr>
        <w:t xml:space="preserve"> cases.</w:t>
      </w:r>
    </w:p>
    <w:p w14:paraId="52EF7082" w14:textId="77777777" w:rsidR="00A236CF" w:rsidRDefault="00A236CF" w:rsidP="00286AEA">
      <w:pPr>
        <w:jc w:val="both"/>
        <w:rPr>
          <w:rFonts w:ascii="Calibri" w:hAnsi="Calibri" w:cs="Calibri"/>
        </w:rPr>
      </w:pPr>
    </w:p>
    <w:p w14:paraId="46BC0344" w14:textId="73CC5641" w:rsidR="00A236CF" w:rsidRDefault="007C0A1E" w:rsidP="00286AEA">
      <w:pPr>
        <w:jc w:val="both"/>
        <w:rPr>
          <w:rFonts w:ascii="Calibri" w:hAnsi="Calibri" w:cs="Calibri"/>
        </w:rPr>
      </w:pPr>
      <w:r>
        <w:rPr>
          <w:rFonts w:ascii="Calibri" w:hAnsi="Calibri" w:cs="Calibri"/>
        </w:rPr>
        <w:t>Meeting dates</w:t>
      </w:r>
      <w:r w:rsidR="00A236CF">
        <w:rPr>
          <w:rFonts w:ascii="Calibri" w:hAnsi="Calibri" w:cs="Calibri"/>
        </w:rPr>
        <w:t xml:space="preserve"> will be provided by </w:t>
      </w:r>
      <w:r w:rsidR="00D65237">
        <w:rPr>
          <w:rFonts w:ascii="Calibri" w:hAnsi="Calibri" w:cs="Calibri"/>
        </w:rPr>
        <w:t>Beyond the Streets</w:t>
      </w:r>
      <w:r w:rsidR="00A236CF">
        <w:rPr>
          <w:rFonts w:ascii="Calibri" w:hAnsi="Calibri" w:cs="Calibri"/>
        </w:rPr>
        <w:t xml:space="preserve"> for the next 12 months. </w:t>
      </w:r>
    </w:p>
    <w:p w14:paraId="35D631F4" w14:textId="77777777" w:rsidR="00A236CF" w:rsidRDefault="00A236CF" w:rsidP="00286AEA">
      <w:pPr>
        <w:jc w:val="both"/>
        <w:rPr>
          <w:rFonts w:ascii="Calibri" w:hAnsi="Calibri" w:cs="Calibri"/>
        </w:rPr>
      </w:pPr>
    </w:p>
    <w:p w14:paraId="754726D8" w14:textId="77777777" w:rsidR="00A236CF" w:rsidRPr="00286AEA" w:rsidRDefault="004D69E4" w:rsidP="00286AEA">
      <w:pPr>
        <w:jc w:val="both"/>
        <w:rPr>
          <w:rFonts w:ascii="Calibri" w:hAnsi="Calibri" w:cs="Calibri"/>
        </w:rPr>
      </w:pPr>
      <w:r>
        <w:rPr>
          <w:rFonts w:ascii="Calibri" w:hAnsi="Calibri" w:cs="Calibri"/>
        </w:rPr>
        <w:t>Where possible, r</w:t>
      </w:r>
      <w:r w:rsidR="00A236CF">
        <w:rPr>
          <w:rFonts w:ascii="Calibri" w:hAnsi="Calibri" w:cs="Calibri"/>
        </w:rPr>
        <w:t xml:space="preserve">eferrals should be discussed with the individual to gain their consent before the meeting in line with the THPP Information Sharing Agreement and legislation. However, referrals can still be made without consent by completing the appropriate ‘Without Consent’ form </w:t>
      </w:r>
      <w:r>
        <w:rPr>
          <w:rFonts w:ascii="Calibri" w:hAnsi="Calibri" w:cs="Calibri"/>
        </w:rPr>
        <w:t>with justification as to why consent could not be obtained.</w:t>
      </w:r>
      <w:r w:rsidR="00A236CF">
        <w:rPr>
          <w:rFonts w:ascii="Calibri" w:hAnsi="Calibri" w:cs="Calibri"/>
        </w:rPr>
        <w:t xml:space="preserve"> </w:t>
      </w:r>
    </w:p>
    <w:p w14:paraId="45AA1811" w14:textId="77777777" w:rsidR="00A236CF" w:rsidRPr="00C60B09" w:rsidRDefault="00A236CF" w:rsidP="004439E3">
      <w:pPr>
        <w:jc w:val="both"/>
        <w:rPr>
          <w:rFonts w:ascii="Calibri" w:hAnsi="Calibri" w:cs="Calibri"/>
          <w:i/>
        </w:rPr>
      </w:pPr>
    </w:p>
    <w:p w14:paraId="296A17B9" w14:textId="77777777" w:rsidR="00A236CF" w:rsidRPr="00C60B09" w:rsidRDefault="00A236CF" w:rsidP="00EC31C3">
      <w:pPr>
        <w:pStyle w:val="ListParagraph"/>
        <w:numPr>
          <w:ilvl w:val="0"/>
          <w:numId w:val="2"/>
        </w:numPr>
        <w:ind w:left="426" w:hanging="426"/>
        <w:jc w:val="both"/>
        <w:rPr>
          <w:rFonts w:ascii="Calibri" w:hAnsi="Calibri" w:cs="Calibri"/>
          <w:b/>
        </w:rPr>
      </w:pPr>
      <w:r w:rsidRPr="004D69E4">
        <w:rPr>
          <w:rFonts w:ascii="Calibri" w:hAnsi="Calibri" w:cs="Calibri"/>
          <w:b/>
          <w:color w:val="008080"/>
        </w:rPr>
        <w:t>Re-referrals to the THPP</w:t>
      </w:r>
    </w:p>
    <w:p w14:paraId="661CDBFD" w14:textId="77777777" w:rsidR="00A236CF" w:rsidRDefault="00A236CF" w:rsidP="00C60B09">
      <w:pPr>
        <w:jc w:val="both"/>
        <w:rPr>
          <w:rFonts w:ascii="Calibri" w:hAnsi="Calibri" w:cs="Calibri"/>
        </w:rPr>
      </w:pPr>
    </w:p>
    <w:p w14:paraId="7C305332" w14:textId="77777777" w:rsidR="00A236CF" w:rsidRDefault="00A236CF" w:rsidP="00C60B09">
      <w:pPr>
        <w:jc w:val="both"/>
        <w:rPr>
          <w:rFonts w:ascii="Calibri" w:hAnsi="Calibri" w:cs="Calibri"/>
        </w:rPr>
      </w:pPr>
      <w:r>
        <w:rPr>
          <w:rFonts w:ascii="Calibri" w:hAnsi="Calibri" w:cs="Calibri"/>
        </w:rPr>
        <w:t xml:space="preserve">All cases that have previously been discussed at the THPP may be re-referred for subsequent discussion where there has been a noted escalation in risk to the individual or to their children since the last meeting. </w:t>
      </w:r>
    </w:p>
    <w:p w14:paraId="64F4A0A5" w14:textId="77777777" w:rsidR="00610DE6" w:rsidRDefault="00610DE6" w:rsidP="00C60B09">
      <w:pPr>
        <w:jc w:val="both"/>
        <w:rPr>
          <w:rFonts w:ascii="Calibri" w:hAnsi="Calibri" w:cs="Calibri"/>
        </w:rPr>
      </w:pPr>
    </w:p>
    <w:p w14:paraId="17C3C0F8" w14:textId="77777777" w:rsidR="00A236CF" w:rsidRPr="004D69E4" w:rsidRDefault="00A236CF" w:rsidP="00EC31C3">
      <w:pPr>
        <w:pStyle w:val="ListParagraph"/>
        <w:numPr>
          <w:ilvl w:val="0"/>
          <w:numId w:val="2"/>
        </w:numPr>
        <w:tabs>
          <w:tab w:val="left" w:pos="284"/>
          <w:tab w:val="left" w:pos="426"/>
        </w:tabs>
        <w:ind w:left="284" w:hanging="284"/>
        <w:jc w:val="both"/>
        <w:rPr>
          <w:rFonts w:ascii="Calibri" w:hAnsi="Calibri" w:cs="Calibri"/>
          <w:b/>
          <w:color w:val="008080"/>
        </w:rPr>
      </w:pPr>
      <w:r w:rsidRPr="004D69E4">
        <w:rPr>
          <w:rFonts w:ascii="Calibri" w:hAnsi="Calibri" w:cs="Calibri"/>
          <w:b/>
          <w:color w:val="008080"/>
        </w:rPr>
        <w:t xml:space="preserve">The Meeting </w:t>
      </w:r>
    </w:p>
    <w:p w14:paraId="4BCEBA91" w14:textId="77777777" w:rsidR="00A236CF" w:rsidRDefault="00A236CF" w:rsidP="00183D76">
      <w:pPr>
        <w:pStyle w:val="ListParagraph"/>
        <w:jc w:val="both"/>
        <w:rPr>
          <w:rFonts w:ascii="Calibri" w:hAnsi="Calibri" w:cs="Calibri"/>
        </w:rPr>
      </w:pPr>
    </w:p>
    <w:p w14:paraId="54D829A9" w14:textId="77777777" w:rsidR="00A6712E" w:rsidRDefault="00A236CF" w:rsidP="00183D76">
      <w:pPr>
        <w:jc w:val="both"/>
        <w:rPr>
          <w:rFonts w:ascii="Calibri" w:hAnsi="Calibri" w:cs="Calibri"/>
        </w:rPr>
      </w:pPr>
      <w:r>
        <w:rPr>
          <w:rFonts w:ascii="Calibri" w:hAnsi="Calibri" w:cs="Calibri"/>
        </w:rPr>
        <w:t>The Partnership meeting will be held monthly (</w:t>
      </w:r>
      <w:r w:rsidR="00610DE6">
        <w:rPr>
          <w:rFonts w:ascii="Calibri" w:hAnsi="Calibri" w:cs="Calibri"/>
        </w:rPr>
        <w:t>12</w:t>
      </w:r>
      <w:r>
        <w:rPr>
          <w:rFonts w:ascii="Calibri" w:hAnsi="Calibri" w:cs="Calibri"/>
        </w:rPr>
        <w:t xml:space="preserve"> times per year) at a venue, date and time agreed by all members. </w:t>
      </w:r>
      <w:r w:rsidR="004D69E4">
        <w:rPr>
          <w:rFonts w:ascii="Calibri" w:hAnsi="Calibri" w:cs="Calibri"/>
        </w:rPr>
        <w:t xml:space="preserve">Beyond the Streets will host the meeting and contact you the week prior to the meeting to share an agenda, as well as confirming the location, </w:t>
      </w:r>
      <w:proofErr w:type="gramStart"/>
      <w:r w:rsidR="004D69E4">
        <w:rPr>
          <w:rFonts w:ascii="Calibri" w:hAnsi="Calibri" w:cs="Calibri"/>
        </w:rPr>
        <w:t>date</w:t>
      </w:r>
      <w:proofErr w:type="gramEnd"/>
      <w:r w:rsidR="004D69E4">
        <w:rPr>
          <w:rFonts w:ascii="Calibri" w:hAnsi="Calibri" w:cs="Calibri"/>
        </w:rPr>
        <w:t xml:space="preserve"> and time.</w:t>
      </w:r>
    </w:p>
    <w:p w14:paraId="03C32233" w14:textId="77777777" w:rsidR="004D69E4" w:rsidRPr="004D69E4" w:rsidRDefault="004D69E4" w:rsidP="00183D76">
      <w:pPr>
        <w:jc w:val="both"/>
        <w:rPr>
          <w:rFonts w:ascii="Calibri" w:hAnsi="Calibri" w:cs="Calibri"/>
          <w:color w:val="008080"/>
        </w:rPr>
      </w:pPr>
    </w:p>
    <w:p w14:paraId="70039DEB" w14:textId="77777777" w:rsidR="00A236CF" w:rsidRPr="004D69E4" w:rsidRDefault="00A236CF" w:rsidP="00DC096E">
      <w:pPr>
        <w:pStyle w:val="ListParagraph"/>
        <w:numPr>
          <w:ilvl w:val="0"/>
          <w:numId w:val="2"/>
        </w:numPr>
        <w:ind w:left="426" w:hanging="426"/>
        <w:jc w:val="both"/>
        <w:rPr>
          <w:rFonts w:ascii="Calibri" w:hAnsi="Calibri" w:cs="Calibri"/>
          <w:b/>
          <w:color w:val="008080"/>
        </w:rPr>
      </w:pPr>
      <w:r w:rsidRPr="004D69E4">
        <w:rPr>
          <w:rFonts w:ascii="Calibri" w:hAnsi="Calibri" w:cs="Calibri"/>
          <w:b/>
          <w:color w:val="008080"/>
        </w:rPr>
        <w:t>Emergency THPP Meetings</w:t>
      </w:r>
    </w:p>
    <w:p w14:paraId="55CE44B2" w14:textId="77777777" w:rsidR="00A236CF" w:rsidRDefault="00A236CF" w:rsidP="00DC096E">
      <w:pPr>
        <w:jc w:val="both"/>
        <w:rPr>
          <w:rFonts w:ascii="Calibri" w:hAnsi="Calibri" w:cs="Calibri"/>
        </w:rPr>
      </w:pPr>
    </w:p>
    <w:p w14:paraId="652E321C" w14:textId="5A46B3F9" w:rsidR="00A236CF" w:rsidRDefault="00A236CF" w:rsidP="00DC096E">
      <w:pPr>
        <w:jc w:val="both"/>
        <w:rPr>
          <w:rFonts w:ascii="Calibri" w:hAnsi="Calibri" w:cs="Calibri"/>
        </w:rPr>
      </w:pPr>
      <w:r>
        <w:rPr>
          <w:rFonts w:ascii="Calibri" w:hAnsi="Calibri" w:cs="Calibri"/>
        </w:rPr>
        <w:t xml:space="preserve">Emergency THPP meetings will be extraordinary meetings called only when </w:t>
      </w:r>
      <w:r w:rsidR="005D0B8A">
        <w:rPr>
          <w:rFonts w:ascii="Calibri" w:hAnsi="Calibri" w:cs="Calibri"/>
        </w:rPr>
        <w:t xml:space="preserve">an individual </w:t>
      </w:r>
      <w:r>
        <w:rPr>
          <w:rFonts w:ascii="Calibri" w:hAnsi="Calibri" w:cs="Calibri"/>
        </w:rPr>
        <w:t xml:space="preserve">is deemed at such high risk that the case cannot wait for the next monthly meeting, recognising that statutory agencies have a duty of care to safeguard that person by acting immediately. Emergency meetings will not always need to take place </w:t>
      </w:r>
      <w:proofErr w:type="gramStart"/>
      <w:r>
        <w:rPr>
          <w:rFonts w:ascii="Calibri" w:hAnsi="Calibri" w:cs="Calibri"/>
        </w:rPr>
        <w:t>face-to-face</w:t>
      </w:r>
      <w:proofErr w:type="gramEnd"/>
      <w:r>
        <w:rPr>
          <w:rFonts w:ascii="Calibri" w:hAnsi="Calibri" w:cs="Calibri"/>
        </w:rPr>
        <w:t xml:space="preserve"> but agencies must be aware that they may be contacted to attend an emergency meeting should the need arise. </w:t>
      </w:r>
    </w:p>
    <w:p w14:paraId="38454705" w14:textId="77777777" w:rsidR="00A236CF" w:rsidRDefault="00A236CF" w:rsidP="00DC096E">
      <w:pPr>
        <w:jc w:val="both"/>
        <w:rPr>
          <w:rFonts w:ascii="Calibri" w:hAnsi="Calibri" w:cs="Calibri"/>
        </w:rPr>
      </w:pPr>
    </w:p>
    <w:p w14:paraId="54C26567" w14:textId="77777777" w:rsidR="00A236CF" w:rsidRPr="004D69E4" w:rsidRDefault="00A236CF" w:rsidP="0088168E">
      <w:pPr>
        <w:pStyle w:val="ListParagraph"/>
        <w:numPr>
          <w:ilvl w:val="0"/>
          <w:numId w:val="2"/>
        </w:numPr>
        <w:ind w:left="426" w:hanging="426"/>
        <w:jc w:val="both"/>
        <w:rPr>
          <w:rFonts w:ascii="Calibri" w:hAnsi="Calibri" w:cs="Calibri"/>
          <w:b/>
          <w:color w:val="008080"/>
        </w:rPr>
      </w:pPr>
      <w:r w:rsidRPr="004D69E4">
        <w:rPr>
          <w:rFonts w:ascii="Calibri" w:hAnsi="Calibri" w:cs="Calibri"/>
          <w:b/>
          <w:color w:val="008080"/>
        </w:rPr>
        <w:t xml:space="preserve">Safeguarding Children </w:t>
      </w:r>
    </w:p>
    <w:p w14:paraId="40B91169" w14:textId="77777777" w:rsidR="00A236CF" w:rsidRDefault="00A236CF" w:rsidP="0088168E">
      <w:pPr>
        <w:jc w:val="both"/>
        <w:rPr>
          <w:rFonts w:ascii="Calibri" w:hAnsi="Calibri" w:cs="Calibri"/>
          <w:b/>
        </w:rPr>
      </w:pPr>
    </w:p>
    <w:p w14:paraId="16DDBFB1" w14:textId="77777777" w:rsidR="00A236CF" w:rsidRDefault="00A236CF" w:rsidP="0088168E">
      <w:pPr>
        <w:jc w:val="both"/>
        <w:rPr>
          <w:rFonts w:ascii="Calibri" w:hAnsi="Calibri" w:cs="Calibri"/>
        </w:rPr>
      </w:pPr>
      <w:r>
        <w:rPr>
          <w:rFonts w:ascii="Calibri" w:hAnsi="Calibri" w:cs="Calibri"/>
        </w:rPr>
        <w:lastRenderedPageBreak/>
        <w:t xml:space="preserve">Where children are at potential risk of </w:t>
      </w:r>
      <w:proofErr w:type="gramStart"/>
      <w:r>
        <w:rPr>
          <w:rFonts w:ascii="Calibri" w:hAnsi="Calibri" w:cs="Calibri"/>
        </w:rPr>
        <w:t>harm</w:t>
      </w:r>
      <w:proofErr w:type="gramEnd"/>
      <w:r>
        <w:rPr>
          <w:rFonts w:ascii="Calibri" w:hAnsi="Calibri" w:cs="Calibri"/>
        </w:rPr>
        <w:t xml:space="preserve"> which is identified in a referral, the THPP Procedures </w:t>
      </w:r>
      <w:r w:rsidRPr="00BA299D">
        <w:rPr>
          <w:rFonts w:ascii="Calibri" w:hAnsi="Calibri" w:cs="Calibri"/>
          <w:b/>
        </w:rPr>
        <w:t>do not</w:t>
      </w:r>
      <w:r>
        <w:rPr>
          <w:rFonts w:ascii="Calibri" w:hAnsi="Calibri" w:cs="Calibri"/>
        </w:rPr>
        <w:t xml:space="preserve"> take precedent over the Tower Hamlet’s Safeguarding Children Board Procedures. </w:t>
      </w:r>
    </w:p>
    <w:p w14:paraId="540F94E8" w14:textId="77777777" w:rsidR="00A236CF" w:rsidRDefault="00A236CF" w:rsidP="0088168E">
      <w:pPr>
        <w:jc w:val="both"/>
        <w:rPr>
          <w:rFonts w:ascii="Calibri" w:hAnsi="Calibri" w:cs="Calibri"/>
        </w:rPr>
      </w:pPr>
    </w:p>
    <w:p w14:paraId="74D07D8B" w14:textId="77777777" w:rsidR="00A236CF" w:rsidRDefault="00A236CF" w:rsidP="0088168E">
      <w:pPr>
        <w:jc w:val="both"/>
        <w:rPr>
          <w:rFonts w:ascii="Calibri" w:hAnsi="Calibri" w:cs="Calibri"/>
        </w:rPr>
      </w:pPr>
      <w:r>
        <w:rPr>
          <w:rFonts w:ascii="Calibri" w:hAnsi="Calibri" w:cs="Calibri"/>
        </w:rPr>
        <w:t xml:space="preserve">Where there are any safeguarding concerns with respect to any child, referrals should be made immediately to </w:t>
      </w:r>
      <w:r w:rsidR="004D69E4">
        <w:rPr>
          <w:rFonts w:ascii="Calibri" w:hAnsi="Calibri" w:cs="Calibri"/>
        </w:rPr>
        <w:t>Tower Hamlets Children and Families</w:t>
      </w:r>
      <w:r>
        <w:rPr>
          <w:rFonts w:ascii="Calibri" w:hAnsi="Calibri" w:cs="Calibri"/>
        </w:rPr>
        <w:t xml:space="preserve"> Social Care. This should be done in conjunction with Tower H</w:t>
      </w:r>
      <w:r w:rsidR="004D69E4">
        <w:rPr>
          <w:rFonts w:ascii="Calibri" w:hAnsi="Calibri" w:cs="Calibri"/>
        </w:rPr>
        <w:t>amlets’ Safeguarding Procedures.</w:t>
      </w:r>
    </w:p>
    <w:p w14:paraId="7D6D2199" w14:textId="77777777" w:rsidR="00A236CF" w:rsidRDefault="00A236CF" w:rsidP="00DC096E">
      <w:pPr>
        <w:jc w:val="both"/>
        <w:rPr>
          <w:rFonts w:ascii="Calibri" w:hAnsi="Calibri" w:cs="Calibri"/>
        </w:rPr>
      </w:pPr>
    </w:p>
    <w:p w14:paraId="5EAEDE32" w14:textId="77777777" w:rsidR="00A236CF" w:rsidRPr="004D69E4" w:rsidRDefault="00A236CF" w:rsidP="00E90111">
      <w:pPr>
        <w:pStyle w:val="ListParagraph"/>
        <w:numPr>
          <w:ilvl w:val="0"/>
          <w:numId w:val="2"/>
        </w:numPr>
        <w:ind w:left="426" w:hanging="426"/>
        <w:jc w:val="both"/>
        <w:rPr>
          <w:rFonts w:ascii="Calibri" w:hAnsi="Calibri" w:cs="Calibri"/>
          <w:b/>
          <w:color w:val="008080"/>
        </w:rPr>
      </w:pPr>
      <w:r w:rsidRPr="004D69E4">
        <w:rPr>
          <w:rFonts w:ascii="Calibri" w:hAnsi="Calibri" w:cs="Calibri"/>
          <w:b/>
          <w:color w:val="008080"/>
        </w:rPr>
        <w:t>Safeguarding Adults</w:t>
      </w:r>
    </w:p>
    <w:p w14:paraId="758F087D" w14:textId="77777777" w:rsidR="00A236CF" w:rsidRDefault="00A236CF" w:rsidP="00E90111">
      <w:pPr>
        <w:jc w:val="both"/>
        <w:rPr>
          <w:rFonts w:ascii="Calibri" w:hAnsi="Calibri" w:cs="Calibri"/>
          <w:b/>
        </w:rPr>
      </w:pPr>
    </w:p>
    <w:p w14:paraId="0B45ABEF" w14:textId="0115F1B4" w:rsidR="00A236CF" w:rsidRDefault="00A236CF" w:rsidP="00230627">
      <w:pPr>
        <w:jc w:val="both"/>
        <w:rPr>
          <w:rFonts w:ascii="Calibri" w:hAnsi="Calibri" w:cs="Calibri"/>
        </w:rPr>
      </w:pPr>
      <w:r w:rsidRPr="00E90111">
        <w:rPr>
          <w:rFonts w:ascii="Calibri" w:hAnsi="Calibri" w:cs="Calibri"/>
        </w:rPr>
        <w:t xml:space="preserve">The THPP may also consider cases where the individual is deemed to be a ‘vulnerable adult’. In Tower Hamlets a vulnerable adult is defined as ‘a person aged 18 years or over who may be unable to take care of </w:t>
      </w:r>
      <w:proofErr w:type="gramStart"/>
      <w:r w:rsidRPr="00E90111">
        <w:rPr>
          <w:rFonts w:ascii="Calibri" w:hAnsi="Calibri" w:cs="Calibri"/>
        </w:rPr>
        <w:t>themselves, or</w:t>
      </w:r>
      <w:proofErr w:type="gramEnd"/>
      <w:r w:rsidRPr="00E90111">
        <w:rPr>
          <w:rFonts w:ascii="Calibri" w:hAnsi="Calibri" w:cs="Calibri"/>
        </w:rPr>
        <w:t xml:space="preserve"> protect themselves from harm or from being exploited. This may be because they have a mental health problem, a disability, a sensory impairment, are old and frail, or have some form of illness.’</w:t>
      </w:r>
      <w:r w:rsidR="00D55777">
        <w:rPr>
          <w:rFonts w:ascii="Calibri" w:hAnsi="Calibri" w:cs="Calibri"/>
        </w:rPr>
        <w:t xml:space="preserve"> </w:t>
      </w:r>
      <w:r w:rsidRPr="00E90111">
        <w:rPr>
          <w:rFonts w:ascii="Calibri" w:hAnsi="Calibri" w:cs="Calibri"/>
        </w:rPr>
        <w:t>(Tower Hamlets Safeguarding Adults Information Sharing Protocol, May 2010: Paragraph 8)</w:t>
      </w:r>
      <w:r w:rsidR="00D55777">
        <w:rPr>
          <w:rFonts w:ascii="Calibri" w:hAnsi="Calibri" w:cs="Calibri"/>
        </w:rPr>
        <w:t>.</w:t>
      </w:r>
    </w:p>
    <w:p w14:paraId="0AE1A181" w14:textId="77777777" w:rsidR="00A236CF" w:rsidRDefault="00A236CF" w:rsidP="00230627">
      <w:pPr>
        <w:jc w:val="both"/>
        <w:rPr>
          <w:rFonts w:ascii="Calibri" w:hAnsi="Calibri" w:cs="Calibri"/>
        </w:rPr>
      </w:pPr>
    </w:p>
    <w:p w14:paraId="0CFD95C0" w14:textId="29CC27E3" w:rsidR="00A236CF" w:rsidRDefault="00A236CF" w:rsidP="004D69E4">
      <w:pPr>
        <w:jc w:val="both"/>
        <w:rPr>
          <w:rFonts w:ascii="Calibri" w:hAnsi="Calibri" w:cs="Calibri"/>
        </w:rPr>
      </w:pPr>
      <w:r>
        <w:rPr>
          <w:rFonts w:ascii="Calibri" w:hAnsi="Calibri" w:cs="Calibri"/>
        </w:rPr>
        <w:t xml:space="preserve">Where a vulnerable adult has been referred, contact should be made with the Safeguarding Adults team and where a vulnerable adult who is involved in prostitution is identified by Safeguarding Adults Team, they should make the case known to </w:t>
      </w:r>
      <w:r w:rsidR="004D69E4">
        <w:rPr>
          <w:rFonts w:ascii="Calibri" w:hAnsi="Calibri" w:cs="Calibri"/>
        </w:rPr>
        <w:t>Beyond the Streets</w:t>
      </w:r>
      <w:r>
        <w:rPr>
          <w:rFonts w:ascii="Calibri" w:hAnsi="Calibri" w:cs="Calibri"/>
        </w:rPr>
        <w:t xml:space="preserve"> for advice on whether to make a referral to the THPP. </w:t>
      </w:r>
    </w:p>
    <w:p w14:paraId="1822F97F" w14:textId="0C5CB2CC" w:rsidR="008A717B" w:rsidRDefault="008A717B" w:rsidP="004D69E4">
      <w:pPr>
        <w:jc w:val="both"/>
        <w:rPr>
          <w:rFonts w:ascii="Calibri" w:hAnsi="Calibri" w:cs="Calibri"/>
        </w:rPr>
      </w:pPr>
    </w:p>
    <w:p w14:paraId="5B440264" w14:textId="3E4C3921" w:rsidR="008A717B" w:rsidRDefault="008A717B" w:rsidP="004D69E4">
      <w:pPr>
        <w:jc w:val="both"/>
        <w:rPr>
          <w:rFonts w:ascii="Calibri" w:hAnsi="Calibri" w:cs="Calibri"/>
        </w:rPr>
      </w:pPr>
      <w:r>
        <w:rPr>
          <w:rFonts w:ascii="Calibri" w:hAnsi="Calibri" w:cs="Calibri"/>
        </w:rPr>
        <w:t xml:space="preserve">There are some cases where it may not be possible for a vulnerable adult to give consent to their referral to the THPP meeting. In this case the ‘Information Sharing </w:t>
      </w:r>
      <w:r w:rsidR="00D23625">
        <w:rPr>
          <w:rFonts w:ascii="Calibri" w:hAnsi="Calibri" w:cs="Calibri"/>
        </w:rPr>
        <w:t xml:space="preserve">without Consent Form’ should be completed and submitted with the referral form. The ‘Information Sharing without Consent’ form includes a list of </w:t>
      </w:r>
      <w:bookmarkStart w:id="0" w:name="_Hlk496090301"/>
      <w:r w:rsidR="00D23625">
        <w:rPr>
          <w:rFonts w:asciiTheme="minorHAnsi" w:hAnsiTheme="minorHAnsi" w:cstheme="minorHAnsi"/>
          <w:bCs/>
        </w:rPr>
        <w:t>l</w:t>
      </w:r>
      <w:r w:rsidR="00D23625" w:rsidRPr="00D23625">
        <w:rPr>
          <w:rFonts w:asciiTheme="minorHAnsi" w:hAnsiTheme="minorHAnsi" w:cstheme="minorHAnsi"/>
          <w:bCs/>
        </w:rPr>
        <w:t xml:space="preserve">egal </w:t>
      </w:r>
      <w:r w:rsidR="00D23625">
        <w:rPr>
          <w:rFonts w:asciiTheme="minorHAnsi" w:hAnsiTheme="minorHAnsi" w:cstheme="minorHAnsi"/>
          <w:bCs/>
        </w:rPr>
        <w:t>&amp; s</w:t>
      </w:r>
      <w:r w:rsidR="00D23625" w:rsidRPr="00D23625">
        <w:rPr>
          <w:rFonts w:asciiTheme="minorHAnsi" w:hAnsiTheme="minorHAnsi" w:cstheme="minorHAnsi"/>
          <w:bCs/>
        </w:rPr>
        <w:t xml:space="preserve">afeguarding </w:t>
      </w:r>
      <w:r w:rsidR="00D23625">
        <w:rPr>
          <w:rFonts w:asciiTheme="minorHAnsi" w:hAnsiTheme="minorHAnsi" w:cstheme="minorHAnsi"/>
          <w:bCs/>
        </w:rPr>
        <w:t>g</w:t>
      </w:r>
      <w:r w:rsidR="00D23625" w:rsidRPr="00D23625">
        <w:rPr>
          <w:rFonts w:asciiTheme="minorHAnsi" w:hAnsiTheme="minorHAnsi" w:cstheme="minorHAnsi"/>
          <w:bCs/>
        </w:rPr>
        <w:t xml:space="preserve">rounds to refer </w:t>
      </w:r>
      <w:bookmarkEnd w:id="0"/>
      <w:r w:rsidR="00D23625" w:rsidRPr="00D23625">
        <w:rPr>
          <w:rFonts w:asciiTheme="minorHAnsi" w:hAnsiTheme="minorHAnsi" w:cstheme="minorHAnsi"/>
          <w:bCs/>
        </w:rPr>
        <w:t>without consent</w:t>
      </w:r>
      <w:r w:rsidR="00D23625">
        <w:rPr>
          <w:rFonts w:asciiTheme="minorHAnsi" w:hAnsiTheme="minorHAnsi" w:cstheme="minorHAnsi"/>
          <w:bCs/>
        </w:rPr>
        <w:t xml:space="preserve">- one or more of which you should select to justify your referral without consent. </w:t>
      </w:r>
    </w:p>
    <w:p w14:paraId="744A6AB4" w14:textId="6600131D" w:rsidR="004D69E4" w:rsidRPr="00E90111" w:rsidRDefault="004D69E4" w:rsidP="004D69E4">
      <w:pPr>
        <w:jc w:val="both"/>
        <w:rPr>
          <w:rFonts w:ascii="Calibri" w:hAnsi="Calibri" w:cs="Calibri"/>
        </w:rPr>
      </w:pPr>
    </w:p>
    <w:p w14:paraId="65EC6989" w14:textId="77777777" w:rsidR="00A236CF" w:rsidRPr="004D69E4" w:rsidRDefault="00A236CF" w:rsidP="00331173">
      <w:pPr>
        <w:pStyle w:val="ListParagraph"/>
        <w:numPr>
          <w:ilvl w:val="0"/>
          <w:numId w:val="2"/>
        </w:numPr>
        <w:ind w:left="426" w:hanging="426"/>
        <w:jc w:val="both"/>
        <w:rPr>
          <w:rFonts w:ascii="Calibri" w:hAnsi="Calibri" w:cs="Calibri"/>
          <w:b/>
          <w:color w:val="008080"/>
        </w:rPr>
      </w:pPr>
      <w:r w:rsidRPr="004D69E4">
        <w:rPr>
          <w:rFonts w:ascii="Calibri" w:hAnsi="Calibri" w:cs="Calibri"/>
          <w:b/>
          <w:color w:val="008080"/>
        </w:rPr>
        <w:t xml:space="preserve">Administration </w:t>
      </w:r>
    </w:p>
    <w:p w14:paraId="39998735" w14:textId="77777777" w:rsidR="00A236CF" w:rsidRDefault="00A236CF" w:rsidP="00331173">
      <w:pPr>
        <w:jc w:val="both"/>
        <w:rPr>
          <w:rFonts w:ascii="Calibri" w:hAnsi="Calibri" w:cs="Calibri"/>
          <w:b/>
        </w:rPr>
      </w:pPr>
    </w:p>
    <w:p w14:paraId="51E4DF4F" w14:textId="77777777" w:rsidR="00A236CF" w:rsidRDefault="00A236CF" w:rsidP="00331173">
      <w:pPr>
        <w:jc w:val="both"/>
        <w:rPr>
          <w:rFonts w:ascii="Calibri" w:hAnsi="Calibri" w:cs="Calibri"/>
        </w:rPr>
      </w:pPr>
      <w:r>
        <w:rPr>
          <w:rFonts w:ascii="Calibri" w:hAnsi="Calibri" w:cs="Calibri"/>
        </w:rPr>
        <w:t xml:space="preserve">Information will be circulated to members of the Partnership and any additional involved agencies in advance of the meetings (no less than </w:t>
      </w:r>
      <w:r w:rsidR="00F93C28">
        <w:rPr>
          <w:rFonts w:ascii="Calibri" w:hAnsi="Calibri" w:cs="Calibri"/>
        </w:rPr>
        <w:t>3</w:t>
      </w:r>
      <w:r>
        <w:rPr>
          <w:rFonts w:ascii="Calibri" w:hAnsi="Calibri" w:cs="Calibri"/>
        </w:rPr>
        <w:t xml:space="preserve"> working days).</w:t>
      </w:r>
    </w:p>
    <w:p w14:paraId="5457B87C" w14:textId="77777777" w:rsidR="00F93C28" w:rsidRDefault="00F93C28" w:rsidP="00331173">
      <w:pPr>
        <w:jc w:val="both"/>
        <w:rPr>
          <w:rFonts w:ascii="Calibri" w:hAnsi="Calibri" w:cs="Calibri"/>
        </w:rPr>
      </w:pPr>
    </w:p>
    <w:p w14:paraId="444D3E45" w14:textId="77777777" w:rsidR="00A236CF" w:rsidRDefault="00F93C28" w:rsidP="00331173">
      <w:pPr>
        <w:jc w:val="both"/>
        <w:rPr>
          <w:rFonts w:ascii="Calibri" w:hAnsi="Calibri" w:cs="Calibri"/>
        </w:rPr>
      </w:pPr>
      <w:r>
        <w:rPr>
          <w:rFonts w:ascii="Calibri" w:hAnsi="Calibri" w:cs="Calibri"/>
        </w:rPr>
        <w:t>Beyond the Streets</w:t>
      </w:r>
      <w:r w:rsidR="00A236CF">
        <w:rPr>
          <w:rFonts w:ascii="Calibri" w:hAnsi="Calibri" w:cs="Calibri"/>
        </w:rPr>
        <w:t xml:space="preserve"> will compile and distribute minutes and an action log at the end of each meeting which will contain information on actions to be taken by relevant agencies as agreed at the meeting. The Part</w:t>
      </w:r>
      <w:r w:rsidR="00D65237">
        <w:rPr>
          <w:rFonts w:ascii="Calibri" w:hAnsi="Calibri" w:cs="Calibri"/>
        </w:rPr>
        <w:t xml:space="preserve">nership members will inform Beyond the Streets on </w:t>
      </w:r>
      <w:hyperlink r:id="rId14" w:history="1">
        <w:r w:rsidR="00D65237" w:rsidRPr="00A70EA6">
          <w:rPr>
            <w:rStyle w:val="Hyperlink"/>
            <w:rFonts w:ascii="Calibri" w:hAnsi="Calibri" w:cs="Calibri"/>
          </w:rPr>
          <w:t>thpp@beyondthestreets.org.uk</w:t>
        </w:r>
      </w:hyperlink>
      <w:r w:rsidR="00D65237">
        <w:rPr>
          <w:rFonts w:ascii="Calibri" w:hAnsi="Calibri" w:cs="Calibri"/>
        </w:rPr>
        <w:t xml:space="preserve"> </w:t>
      </w:r>
      <w:r w:rsidR="00A236CF">
        <w:rPr>
          <w:rFonts w:ascii="Calibri" w:hAnsi="Calibri" w:cs="Calibri"/>
        </w:rPr>
        <w:t>when their actions have been completed.</w:t>
      </w:r>
    </w:p>
    <w:p w14:paraId="625AB302" w14:textId="77777777" w:rsidR="00A236CF" w:rsidRPr="00303BB3" w:rsidRDefault="00A236CF" w:rsidP="00331173">
      <w:pPr>
        <w:jc w:val="both"/>
        <w:rPr>
          <w:rFonts w:ascii="Calibri" w:hAnsi="Calibri" w:cs="Calibri"/>
          <w:b/>
        </w:rPr>
      </w:pPr>
    </w:p>
    <w:p w14:paraId="4C923AAD" w14:textId="77777777" w:rsidR="00A236CF" w:rsidRPr="004D69E4" w:rsidRDefault="00A236CF" w:rsidP="00303BB3">
      <w:pPr>
        <w:pStyle w:val="ListParagraph"/>
        <w:numPr>
          <w:ilvl w:val="0"/>
          <w:numId w:val="2"/>
        </w:numPr>
        <w:tabs>
          <w:tab w:val="left" w:pos="426"/>
        </w:tabs>
        <w:ind w:left="284" w:hanging="284"/>
        <w:jc w:val="both"/>
        <w:rPr>
          <w:rFonts w:ascii="Calibri" w:hAnsi="Calibri" w:cs="Calibri"/>
          <w:b/>
          <w:color w:val="008080"/>
        </w:rPr>
      </w:pPr>
      <w:r w:rsidRPr="004D69E4">
        <w:rPr>
          <w:rFonts w:ascii="Calibri" w:hAnsi="Calibri" w:cs="Calibri"/>
          <w:b/>
          <w:color w:val="008080"/>
        </w:rPr>
        <w:t>Information Sharing Protocol</w:t>
      </w:r>
    </w:p>
    <w:p w14:paraId="20E1EEB8" w14:textId="77777777" w:rsidR="00A236CF" w:rsidRDefault="00A236CF" w:rsidP="00795449">
      <w:pPr>
        <w:jc w:val="both"/>
        <w:rPr>
          <w:rFonts w:ascii="Calibri" w:hAnsi="Calibri" w:cs="Calibri"/>
        </w:rPr>
      </w:pPr>
    </w:p>
    <w:p w14:paraId="168FC397" w14:textId="77777777" w:rsidR="00A236CF" w:rsidRPr="00795449" w:rsidRDefault="00A236CF" w:rsidP="00795449">
      <w:pPr>
        <w:jc w:val="both"/>
        <w:rPr>
          <w:rFonts w:ascii="Calibri" w:hAnsi="Calibri" w:cs="Calibri"/>
        </w:rPr>
      </w:pPr>
      <w:r>
        <w:rPr>
          <w:rFonts w:ascii="Calibri" w:hAnsi="Calibri" w:cs="Calibri"/>
        </w:rPr>
        <w:t xml:space="preserve">All member agencies of the THPP are required to sign-up to the Information Sharing Protocol. </w:t>
      </w:r>
    </w:p>
    <w:p w14:paraId="244F3AEB" w14:textId="77777777" w:rsidR="00A236CF" w:rsidRDefault="00A236CF" w:rsidP="00331173">
      <w:pPr>
        <w:jc w:val="both"/>
        <w:rPr>
          <w:rFonts w:ascii="Calibri" w:hAnsi="Calibri" w:cs="Calibri"/>
        </w:rPr>
      </w:pPr>
    </w:p>
    <w:p w14:paraId="0E9412A8" w14:textId="77777777" w:rsidR="00A236CF" w:rsidRPr="004D69E4" w:rsidRDefault="00A236CF" w:rsidP="00331173">
      <w:pPr>
        <w:pStyle w:val="ListParagraph"/>
        <w:numPr>
          <w:ilvl w:val="0"/>
          <w:numId w:val="2"/>
        </w:numPr>
        <w:ind w:left="426" w:hanging="426"/>
        <w:jc w:val="both"/>
        <w:rPr>
          <w:rFonts w:ascii="Calibri" w:hAnsi="Calibri" w:cs="Calibri"/>
          <w:b/>
          <w:color w:val="008080"/>
        </w:rPr>
      </w:pPr>
      <w:r w:rsidRPr="004D69E4">
        <w:rPr>
          <w:rFonts w:ascii="Calibri" w:hAnsi="Calibri" w:cs="Calibri"/>
          <w:b/>
          <w:color w:val="008080"/>
        </w:rPr>
        <w:t>Confidentiality</w:t>
      </w:r>
    </w:p>
    <w:p w14:paraId="619C5CDE" w14:textId="77777777" w:rsidR="00A236CF" w:rsidRDefault="00A236CF" w:rsidP="00331173">
      <w:pPr>
        <w:jc w:val="both"/>
        <w:rPr>
          <w:rFonts w:ascii="Calibri" w:hAnsi="Calibri" w:cs="Calibri"/>
          <w:b/>
        </w:rPr>
      </w:pPr>
    </w:p>
    <w:p w14:paraId="46A3A670" w14:textId="765F2BF1" w:rsidR="00A236CF" w:rsidRPr="008159FE" w:rsidRDefault="00A236CF" w:rsidP="008159FE">
      <w:pPr>
        <w:numPr>
          <w:ilvl w:val="0"/>
          <w:numId w:val="4"/>
        </w:numPr>
        <w:tabs>
          <w:tab w:val="clear" w:pos="780"/>
          <w:tab w:val="num" w:pos="284"/>
        </w:tabs>
        <w:ind w:left="284" w:hanging="284"/>
        <w:jc w:val="both"/>
        <w:rPr>
          <w:rFonts w:ascii="Calibri" w:hAnsi="Calibri" w:cs="Calibri"/>
          <w:lang w:eastAsia="en-US"/>
        </w:rPr>
      </w:pPr>
      <w:r w:rsidRPr="00FB35B3">
        <w:rPr>
          <w:rFonts w:ascii="Calibri" w:hAnsi="Calibri" w:cs="Calibri"/>
          <w:lang w:eastAsia="en-US"/>
        </w:rPr>
        <w:t xml:space="preserve">All information in relation to the </w:t>
      </w:r>
      <w:r>
        <w:rPr>
          <w:rFonts w:ascii="Calibri" w:hAnsi="Calibri" w:cs="Calibri"/>
          <w:lang w:eastAsia="en-US"/>
        </w:rPr>
        <w:t>Partnership</w:t>
      </w:r>
      <w:r w:rsidRPr="00FB35B3">
        <w:rPr>
          <w:rFonts w:ascii="Calibri" w:hAnsi="Calibri" w:cs="Calibri"/>
          <w:lang w:eastAsia="en-US"/>
        </w:rPr>
        <w:t xml:space="preserve"> is strictly confidential.  No documents relating to the</w:t>
      </w:r>
      <w:r w:rsidR="00533607">
        <w:rPr>
          <w:rFonts w:ascii="Calibri" w:hAnsi="Calibri" w:cs="Calibri"/>
          <w:lang w:eastAsia="en-US"/>
        </w:rPr>
        <w:t xml:space="preserve"> meeting</w:t>
      </w:r>
      <w:r w:rsidRPr="00FB35B3">
        <w:rPr>
          <w:rFonts w:ascii="Calibri" w:hAnsi="Calibri" w:cs="Calibri"/>
          <w:lang w:eastAsia="en-US"/>
        </w:rPr>
        <w:t xml:space="preserve"> are to be circulated or shared with non-members without the </w:t>
      </w:r>
      <w:r>
        <w:rPr>
          <w:rFonts w:ascii="Calibri" w:hAnsi="Calibri" w:cs="Calibri"/>
          <w:lang w:eastAsia="en-US"/>
        </w:rPr>
        <w:t xml:space="preserve">written </w:t>
      </w:r>
      <w:r w:rsidRPr="00FB35B3">
        <w:rPr>
          <w:rFonts w:ascii="Calibri" w:hAnsi="Calibri" w:cs="Calibri"/>
          <w:lang w:eastAsia="en-US"/>
        </w:rPr>
        <w:t xml:space="preserve">agreement of </w:t>
      </w:r>
      <w:r w:rsidR="00FD6479">
        <w:rPr>
          <w:rFonts w:ascii="Calibri" w:hAnsi="Calibri" w:cs="Calibri"/>
          <w:lang w:eastAsia="en-US"/>
        </w:rPr>
        <w:t xml:space="preserve">Beyond the Streets. </w:t>
      </w:r>
      <w:r w:rsidRPr="00FB35B3">
        <w:rPr>
          <w:rFonts w:ascii="Calibri" w:hAnsi="Calibri" w:cs="Calibri"/>
          <w:lang w:eastAsia="en-US"/>
        </w:rPr>
        <w:t xml:space="preserve">  </w:t>
      </w:r>
    </w:p>
    <w:p w14:paraId="0F34DED9" w14:textId="77777777" w:rsidR="00A236CF" w:rsidRDefault="00A236CF" w:rsidP="00E66438">
      <w:pPr>
        <w:numPr>
          <w:ilvl w:val="0"/>
          <w:numId w:val="5"/>
        </w:numPr>
        <w:tabs>
          <w:tab w:val="clear" w:pos="720"/>
          <w:tab w:val="num" w:pos="284"/>
        </w:tabs>
        <w:ind w:left="284" w:hanging="284"/>
        <w:jc w:val="both"/>
        <w:rPr>
          <w:rFonts w:ascii="Calibri" w:hAnsi="Calibri" w:cs="Calibri"/>
          <w:lang w:eastAsia="en-US"/>
        </w:rPr>
      </w:pPr>
      <w:r w:rsidRPr="008671AD">
        <w:rPr>
          <w:rFonts w:ascii="Calibri" w:hAnsi="Calibri" w:cs="Calibri"/>
          <w:lang w:eastAsia="en-US"/>
        </w:rPr>
        <w:lastRenderedPageBreak/>
        <w:t xml:space="preserve">All correspondence relating to the </w:t>
      </w:r>
      <w:r>
        <w:rPr>
          <w:rFonts w:ascii="Calibri" w:hAnsi="Calibri" w:cs="Calibri"/>
          <w:lang w:eastAsia="en-US"/>
        </w:rPr>
        <w:t>Partnership</w:t>
      </w:r>
      <w:r w:rsidRPr="008671AD">
        <w:rPr>
          <w:rFonts w:ascii="Calibri" w:hAnsi="Calibri" w:cs="Calibri"/>
          <w:lang w:eastAsia="en-US"/>
        </w:rPr>
        <w:t xml:space="preserve"> will be sent by </w:t>
      </w:r>
      <w:r w:rsidR="00533607">
        <w:rPr>
          <w:rFonts w:ascii="Calibri" w:hAnsi="Calibri" w:cs="Calibri"/>
          <w:lang w:eastAsia="en-US"/>
        </w:rPr>
        <w:t xml:space="preserve">secure </w:t>
      </w:r>
      <w:r w:rsidRPr="008671AD">
        <w:rPr>
          <w:rFonts w:ascii="Calibri" w:hAnsi="Calibri" w:cs="Calibri"/>
          <w:lang w:eastAsia="en-US"/>
        </w:rPr>
        <w:t xml:space="preserve">email and clearly marked “STRICTLY CONFIDENTIAL”.  </w:t>
      </w:r>
      <w:r>
        <w:rPr>
          <w:rFonts w:ascii="Calibri" w:hAnsi="Calibri" w:cs="Calibri"/>
          <w:lang w:eastAsia="en-US"/>
        </w:rPr>
        <w:t>M</w:t>
      </w:r>
      <w:r w:rsidRPr="008671AD">
        <w:rPr>
          <w:rFonts w:ascii="Calibri" w:hAnsi="Calibri" w:cs="Calibri"/>
          <w:lang w:eastAsia="en-US"/>
        </w:rPr>
        <w:t>embers will ensure that all papers are stored and disposed of securely, restricting unauthorised access.</w:t>
      </w:r>
      <w:r w:rsidR="00533607">
        <w:rPr>
          <w:rFonts w:ascii="Calibri" w:hAnsi="Calibri" w:cs="Calibri"/>
          <w:lang w:eastAsia="en-US"/>
        </w:rPr>
        <w:t xml:space="preserve"> </w:t>
      </w:r>
    </w:p>
    <w:p w14:paraId="7A55DB3C" w14:textId="77777777" w:rsidR="00A236CF" w:rsidRPr="00890ED0" w:rsidRDefault="00A236CF" w:rsidP="00E66438">
      <w:pPr>
        <w:numPr>
          <w:ilvl w:val="0"/>
          <w:numId w:val="5"/>
        </w:numPr>
        <w:tabs>
          <w:tab w:val="clear" w:pos="720"/>
          <w:tab w:val="num" w:pos="284"/>
        </w:tabs>
        <w:ind w:left="284" w:hanging="284"/>
        <w:jc w:val="both"/>
        <w:rPr>
          <w:rFonts w:ascii="Calibri" w:hAnsi="Calibri" w:cs="Calibri"/>
          <w:lang w:eastAsia="en-US"/>
        </w:rPr>
      </w:pPr>
      <w:r>
        <w:rPr>
          <w:rFonts w:ascii="Calibri" w:hAnsi="Calibri" w:cs="Calibri"/>
          <w:lang w:eastAsia="en-US"/>
        </w:rPr>
        <w:t xml:space="preserve">Agencies </w:t>
      </w:r>
      <w:r w:rsidR="00533607">
        <w:rPr>
          <w:rFonts w:ascii="Calibri" w:hAnsi="Calibri" w:cs="Calibri"/>
          <w:lang w:eastAsia="en-US"/>
        </w:rPr>
        <w:t xml:space="preserve">will be provided with hard copies of the THPP agenda and minutes at the meeting. </w:t>
      </w:r>
    </w:p>
    <w:p w14:paraId="4AC873AC" w14:textId="77777777" w:rsidR="006057B1" w:rsidRDefault="006057B1" w:rsidP="00331173">
      <w:pPr>
        <w:jc w:val="both"/>
        <w:rPr>
          <w:rFonts w:ascii="Calibri" w:hAnsi="Calibri" w:cs="Calibri"/>
          <w:b/>
        </w:rPr>
      </w:pPr>
    </w:p>
    <w:p w14:paraId="070A7676" w14:textId="77777777" w:rsidR="00A236CF" w:rsidRPr="004D69E4" w:rsidRDefault="00A236CF" w:rsidP="00331173">
      <w:pPr>
        <w:pStyle w:val="ListParagraph"/>
        <w:numPr>
          <w:ilvl w:val="0"/>
          <w:numId w:val="2"/>
        </w:numPr>
        <w:ind w:left="426" w:hanging="426"/>
        <w:jc w:val="both"/>
        <w:rPr>
          <w:rFonts w:ascii="Calibri" w:hAnsi="Calibri" w:cs="Calibri"/>
          <w:b/>
          <w:color w:val="008080"/>
        </w:rPr>
      </w:pPr>
      <w:r w:rsidRPr="004D69E4">
        <w:rPr>
          <w:rFonts w:ascii="Calibri" w:hAnsi="Calibri" w:cs="Calibri"/>
          <w:b/>
          <w:color w:val="008080"/>
        </w:rPr>
        <w:t>Breaches of Security</w:t>
      </w:r>
    </w:p>
    <w:p w14:paraId="376F52B4" w14:textId="77777777" w:rsidR="00A236CF" w:rsidRPr="00331173" w:rsidRDefault="00A236CF" w:rsidP="00331173">
      <w:pPr>
        <w:pStyle w:val="ListParagraph"/>
        <w:rPr>
          <w:rFonts w:ascii="Calibri" w:hAnsi="Calibri" w:cs="Calibri"/>
          <w:b/>
        </w:rPr>
      </w:pPr>
    </w:p>
    <w:p w14:paraId="44C481F5" w14:textId="77777777" w:rsidR="00A236CF" w:rsidRPr="00331173" w:rsidRDefault="00A236CF" w:rsidP="00331173">
      <w:pPr>
        <w:jc w:val="both"/>
        <w:rPr>
          <w:rFonts w:ascii="Calibri" w:hAnsi="Calibri" w:cs="Calibri"/>
        </w:rPr>
      </w:pPr>
      <w:r>
        <w:rPr>
          <w:rFonts w:ascii="Calibri" w:hAnsi="Calibri" w:cs="Calibri"/>
        </w:rPr>
        <w:t xml:space="preserve">Any breach of security may pose a serious risk to the subject of the information </w:t>
      </w:r>
      <w:proofErr w:type="gramStart"/>
      <w:r>
        <w:rPr>
          <w:rFonts w:ascii="Calibri" w:hAnsi="Calibri" w:cs="Calibri"/>
        </w:rPr>
        <w:t>and also</w:t>
      </w:r>
      <w:proofErr w:type="gramEnd"/>
      <w:r>
        <w:rPr>
          <w:rFonts w:ascii="Calibri" w:hAnsi="Calibri" w:cs="Calibri"/>
        </w:rPr>
        <w:t xml:space="preserve"> to the agency or professional involved in the case. Any breach of security must be notified immediately to </w:t>
      </w:r>
      <w:r w:rsidR="00D65237">
        <w:rPr>
          <w:rFonts w:ascii="Calibri" w:hAnsi="Calibri" w:cs="Calibri"/>
        </w:rPr>
        <w:t>Beyond the Streets</w:t>
      </w:r>
      <w:r>
        <w:rPr>
          <w:rFonts w:ascii="Calibri" w:hAnsi="Calibri" w:cs="Calibri"/>
        </w:rPr>
        <w:t xml:space="preserve"> and individual disciplinary policies must be followed. </w:t>
      </w:r>
    </w:p>
    <w:p w14:paraId="41BA612E" w14:textId="77777777" w:rsidR="00A236CF" w:rsidRDefault="00A236CF" w:rsidP="005479C4">
      <w:pPr>
        <w:rPr>
          <w:rFonts w:ascii="Calibri" w:hAnsi="Calibri" w:cs="Calibri"/>
        </w:rPr>
      </w:pPr>
    </w:p>
    <w:p w14:paraId="262EFF00" w14:textId="77777777" w:rsidR="00A236CF" w:rsidRPr="00533607" w:rsidRDefault="00A236CF" w:rsidP="005479C4">
      <w:pPr>
        <w:pStyle w:val="ListParagraph"/>
        <w:numPr>
          <w:ilvl w:val="0"/>
          <w:numId w:val="2"/>
        </w:numPr>
        <w:ind w:left="426" w:hanging="426"/>
        <w:rPr>
          <w:rFonts w:ascii="Calibri" w:hAnsi="Calibri" w:cs="Calibri"/>
          <w:b/>
          <w:color w:val="008080"/>
        </w:rPr>
      </w:pPr>
      <w:r w:rsidRPr="00533607">
        <w:rPr>
          <w:rFonts w:ascii="Calibri" w:hAnsi="Calibri" w:cs="Calibri"/>
          <w:b/>
          <w:color w:val="008080"/>
        </w:rPr>
        <w:t>Equality</w:t>
      </w:r>
    </w:p>
    <w:p w14:paraId="73F95BF1" w14:textId="77777777" w:rsidR="00A236CF" w:rsidRDefault="00A236CF" w:rsidP="005479C4">
      <w:pPr>
        <w:rPr>
          <w:rFonts w:ascii="Calibri" w:hAnsi="Calibri" w:cs="Calibri"/>
          <w:b/>
        </w:rPr>
      </w:pPr>
    </w:p>
    <w:p w14:paraId="40492E8D" w14:textId="33973995" w:rsidR="00A236CF" w:rsidRPr="005479C4" w:rsidRDefault="00A236CF" w:rsidP="005479C4">
      <w:pPr>
        <w:autoSpaceDE w:val="0"/>
        <w:autoSpaceDN w:val="0"/>
        <w:adjustRightInd w:val="0"/>
        <w:jc w:val="both"/>
        <w:rPr>
          <w:rFonts w:ascii="Calibri" w:hAnsi="Calibri" w:cs="Calibri"/>
        </w:rPr>
      </w:pPr>
      <w:r w:rsidRPr="005479C4">
        <w:rPr>
          <w:rFonts w:ascii="Calibri" w:hAnsi="Calibri" w:cs="Calibri"/>
        </w:rPr>
        <w:t xml:space="preserve">It is important that the </w:t>
      </w:r>
      <w:r>
        <w:rPr>
          <w:rFonts w:ascii="Calibri" w:hAnsi="Calibri" w:cs="Calibri"/>
        </w:rPr>
        <w:t>THPP</w:t>
      </w:r>
      <w:r w:rsidRPr="005479C4">
        <w:rPr>
          <w:rFonts w:ascii="Calibri" w:hAnsi="Calibri" w:cs="Calibri"/>
        </w:rPr>
        <w:t xml:space="preserve"> meets the needs of all </w:t>
      </w:r>
      <w:r w:rsidR="00D55777" w:rsidRPr="005479C4">
        <w:rPr>
          <w:rFonts w:ascii="Calibri" w:hAnsi="Calibri" w:cs="Calibri"/>
        </w:rPr>
        <w:t>high-risk</w:t>
      </w:r>
      <w:r w:rsidRPr="005479C4">
        <w:rPr>
          <w:rFonts w:ascii="Calibri" w:hAnsi="Calibri" w:cs="Calibri"/>
        </w:rPr>
        <w:t xml:space="preserve"> </w:t>
      </w:r>
      <w:r w:rsidR="00FD6479">
        <w:rPr>
          <w:rFonts w:ascii="Calibri" w:hAnsi="Calibri" w:cs="Calibri"/>
        </w:rPr>
        <w:t>individuals</w:t>
      </w:r>
      <w:r w:rsidRPr="005479C4">
        <w:rPr>
          <w:rFonts w:ascii="Calibri" w:hAnsi="Calibri" w:cs="Calibri"/>
        </w:rPr>
        <w:t xml:space="preserve">, including those from minority communities. To ensure we are discussing cases which reflect our local population and have agency representation who can offer specialist advice we </w:t>
      </w:r>
      <w:r>
        <w:rPr>
          <w:rFonts w:ascii="Calibri" w:hAnsi="Calibri" w:cs="Calibri"/>
        </w:rPr>
        <w:t xml:space="preserve">will </w:t>
      </w:r>
      <w:r w:rsidRPr="005479C4">
        <w:rPr>
          <w:rFonts w:ascii="Calibri" w:hAnsi="Calibri" w:cs="Calibri"/>
        </w:rPr>
        <w:t xml:space="preserve">produce quarterly monitoring reports outlining the ethnicity, age, sexual orientation, </w:t>
      </w:r>
      <w:proofErr w:type="gramStart"/>
      <w:r w:rsidRPr="005479C4">
        <w:rPr>
          <w:rFonts w:ascii="Calibri" w:hAnsi="Calibri" w:cs="Calibri"/>
        </w:rPr>
        <w:t>disability</w:t>
      </w:r>
      <w:proofErr w:type="gramEnd"/>
      <w:r w:rsidRPr="005479C4">
        <w:rPr>
          <w:rFonts w:ascii="Calibri" w:hAnsi="Calibri" w:cs="Calibri"/>
        </w:rPr>
        <w:t xml:space="preserve"> and gender of </w:t>
      </w:r>
      <w:r w:rsidR="00FD6479">
        <w:rPr>
          <w:rFonts w:ascii="Calibri" w:hAnsi="Calibri" w:cs="Calibri"/>
        </w:rPr>
        <w:t>individuals</w:t>
      </w:r>
      <w:r w:rsidRPr="005479C4">
        <w:rPr>
          <w:rFonts w:ascii="Calibri" w:hAnsi="Calibri" w:cs="Calibri"/>
        </w:rPr>
        <w:t xml:space="preserve"> discussed at the meeting.</w:t>
      </w:r>
    </w:p>
    <w:p w14:paraId="528BB6C1" w14:textId="77777777" w:rsidR="00A236CF" w:rsidRPr="005479C4" w:rsidRDefault="00A236CF" w:rsidP="005479C4">
      <w:pPr>
        <w:autoSpaceDE w:val="0"/>
        <w:autoSpaceDN w:val="0"/>
        <w:adjustRightInd w:val="0"/>
        <w:jc w:val="both"/>
        <w:rPr>
          <w:rFonts w:ascii="Calibri" w:hAnsi="Calibri" w:cs="Calibri"/>
        </w:rPr>
      </w:pPr>
    </w:p>
    <w:p w14:paraId="54EEFAA8" w14:textId="77777777" w:rsidR="00A236CF" w:rsidRDefault="00A236CF" w:rsidP="005479C4">
      <w:pPr>
        <w:autoSpaceDE w:val="0"/>
        <w:autoSpaceDN w:val="0"/>
        <w:adjustRightInd w:val="0"/>
        <w:jc w:val="both"/>
        <w:rPr>
          <w:rFonts w:ascii="Calibri" w:hAnsi="Calibri" w:cs="Calibri"/>
        </w:rPr>
      </w:pPr>
      <w:r w:rsidRPr="005479C4">
        <w:rPr>
          <w:rFonts w:ascii="Calibri" w:hAnsi="Calibri" w:cs="Calibri"/>
        </w:rPr>
        <w:t xml:space="preserve">The membership of the THPP will be regularly reviewed, </w:t>
      </w:r>
      <w:proofErr w:type="gramStart"/>
      <w:r w:rsidRPr="005479C4">
        <w:rPr>
          <w:rFonts w:ascii="Calibri" w:hAnsi="Calibri" w:cs="Calibri"/>
        </w:rPr>
        <w:t>in order to</w:t>
      </w:r>
      <w:proofErr w:type="gramEnd"/>
      <w:r w:rsidRPr="005479C4">
        <w:rPr>
          <w:rFonts w:ascii="Calibri" w:hAnsi="Calibri" w:cs="Calibri"/>
        </w:rPr>
        <w:t xml:space="preserve"> identify any additional representatives required to meet the needs of the local community (including diverse communities)</w:t>
      </w:r>
      <w:r w:rsidR="003E4FBE">
        <w:rPr>
          <w:rFonts w:ascii="Calibri" w:hAnsi="Calibri" w:cs="Calibri"/>
        </w:rPr>
        <w:t>.</w:t>
      </w:r>
    </w:p>
    <w:p w14:paraId="6F12D220" w14:textId="77777777" w:rsidR="00A236CF" w:rsidRDefault="00A236CF" w:rsidP="005479C4">
      <w:pPr>
        <w:autoSpaceDE w:val="0"/>
        <w:autoSpaceDN w:val="0"/>
        <w:adjustRightInd w:val="0"/>
        <w:jc w:val="both"/>
        <w:rPr>
          <w:rFonts w:ascii="Calibri" w:hAnsi="Calibri" w:cs="Calibri"/>
        </w:rPr>
      </w:pPr>
    </w:p>
    <w:p w14:paraId="40140053" w14:textId="77777777" w:rsidR="00A236CF" w:rsidRPr="003E4FBE" w:rsidRDefault="00A236CF" w:rsidP="00911D61">
      <w:pPr>
        <w:pStyle w:val="ListParagraph"/>
        <w:numPr>
          <w:ilvl w:val="0"/>
          <w:numId w:val="2"/>
        </w:numPr>
        <w:autoSpaceDE w:val="0"/>
        <w:autoSpaceDN w:val="0"/>
        <w:adjustRightInd w:val="0"/>
        <w:ind w:left="426" w:hanging="426"/>
        <w:jc w:val="both"/>
        <w:rPr>
          <w:rFonts w:ascii="Calibri" w:hAnsi="Calibri" w:cs="Calibri"/>
          <w:b/>
          <w:color w:val="008080"/>
        </w:rPr>
      </w:pPr>
      <w:r w:rsidRPr="003E4FBE">
        <w:rPr>
          <w:rFonts w:ascii="Calibri" w:hAnsi="Calibri" w:cs="Calibri"/>
          <w:b/>
          <w:color w:val="008080"/>
        </w:rPr>
        <w:t xml:space="preserve">Governance </w:t>
      </w:r>
    </w:p>
    <w:p w14:paraId="5A5D3CCD" w14:textId="77777777" w:rsidR="00A236CF" w:rsidRDefault="00A236CF" w:rsidP="00911D61">
      <w:pPr>
        <w:autoSpaceDE w:val="0"/>
        <w:autoSpaceDN w:val="0"/>
        <w:adjustRightInd w:val="0"/>
        <w:jc w:val="both"/>
        <w:rPr>
          <w:rFonts w:ascii="Calibri" w:hAnsi="Calibri" w:cs="Calibri"/>
          <w:b/>
        </w:rPr>
      </w:pPr>
    </w:p>
    <w:p w14:paraId="45F27DB5" w14:textId="77777777" w:rsidR="00A236CF" w:rsidRPr="00FD6479" w:rsidRDefault="00A236CF" w:rsidP="00911D61">
      <w:pPr>
        <w:autoSpaceDE w:val="0"/>
        <w:autoSpaceDN w:val="0"/>
        <w:adjustRightInd w:val="0"/>
        <w:jc w:val="both"/>
        <w:rPr>
          <w:rFonts w:ascii="Calibri" w:hAnsi="Calibri" w:cs="Calibri"/>
        </w:rPr>
      </w:pPr>
      <w:r w:rsidRPr="00FD6479">
        <w:rPr>
          <w:rFonts w:ascii="Calibri" w:hAnsi="Calibri" w:cs="Calibri"/>
        </w:rPr>
        <w:t>A THPP Steering Group will be established and will meet twice a year. The Steering Group will be responsible for taking the strategic lead by addressing the practical and resource implications of the THPP and develop and maintain internal protocols and procedures in relation to public protection.</w:t>
      </w:r>
    </w:p>
    <w:p w14:paraId="02CD5E8D" w14:textId="77777777" w:rsidR="00A236CF" w:rsidRPr="00FD6479" w:rsidRDefault="00A236CF" w:rsidP="00911D61">
      <w:pPr>
        <w:autoSpaceDE w:val="0"/>
        <w:autoSpaceDN w:val="0"/>
        <w:adjustRightInd w:val="0"/>
        <w:jc w:val="both"/>
        <w:rPr>
          <w:rFonts w:ascii="Calibri" w:hAnsi="Calibri" w:cs="Calibri"/>
        </w:rPr>
      </w:pPr>
    </w:p>
    <w:p w14:paraId="1BB0F9E0" w14:textId="77777777" w:rsidR="00A236CF" w:rsidRPr="00FD6479" w:rsidRDefault="00A236CF" w:rsidP="00911D61">
      <w:pPr>
        <w:autoSpaceDE w:val="0"/>
        <w:autoSpaceDN w:val="0"/>
        <w:adjustRightInd w:val="0"/>
        <w:jc w:val="both"/>
        <w:rPr>
          <w:rFonts w:ascii="Calibri" w:hAnsi="Calibri" w:cs="Calibri"/>
        </w:rPr>
      </w:pPr>
      <w:r w:rsidRPr="00FD6479">
        <w:rPr>
          <w:rFonts w:ascii="Calibri" w:hAnsi="Calibri" w:cs="Calibri"/>
        </w:rPr>
        <w:t xml:space="preserve">It is the responsibility of the Steering Group to report to the strategic partnership, the Community Safety Partnership. </w:t>
      </w:r>
    </w:p>
    <w:p w14:paraId="0931FF3E" w14:textId="1CC9C05B" w:rsidR="00A236CF" w:rsidRPr="00FD6479" w:rsidRDefault="00A236CF" w:rsidP="00FD6479">
      <w:pPr>
        <w:jc w:val="both"/>
        <w:rPr>
          <w:rFonts w:ascii="Calibri" w:hAnsi="Calibri" w:cs="Calibri"/>
        </w:rPr>
      </w:pPr>
    </w:p>
    <w:p w14:paraId="5E199B14" w14:textId="77777777" w:rsidR="00A236CF" w:rsidRPr="003E4FBE" w:rsidRDefault="00A236CF" w:rsidP="00331173">
      <w:pPr>
        <w:pStyle w:val="ListParagraph"/>
        <w:numPr>
          <w:ilvl w:val="0"/>
          <w:numId w:val="2"/>
        </w:numPr>
        <w:ind w:left="426" w:hanging="426"/>
        <w:jc w:val="both"/>
        <w:rPr>
          <w:rFonts w:ascii="Calibri" w:hAnsi="Calibri" w:cs="Calibri"/>
          <w:b/>
          <w:color w:val="008080"/>
        </w:rPr>
      </w:pPr>
      <w:r w:rsidRPr="003E4FBE">
        <w:rPr>
          <w:rFonts w:ascii="Calibri" w:hAnsi="Calibri" w:cs="Calibri"/>
          <w:b/>
          <w:color w:val="008080"/>
        </w:rPr>
        <w:t>Review of this information</w:t>
      </w:r>
    </w:p>
    <w:p w14:paraId="175F38E4" w14:textId="77777777" w:rsidR="00A236CF" w:rsidRPr="00331173" w:rsidRDefault="00A236CF" w:rsidP="00331173">
      <w:pPr>
        <w:pStyle w:val="ListParagraph"/>
        <w:rPr>
          <w:rFonts w:ascii="Calibri" w:hAnsi="Calibri" w:cs="Calibri"/>
        </w:rPr>
      </w:pPr>
    </w:p>
    <w:p w14:paraId="3B164883" w14:textId="1D191CBF" w:rsidR="00A236CF" w:rsidRDefault="00A236CF" w:rsidP="005479C4">
      <w:pPr>
        <w:jc w:val="both"/>
        <w:rPr>
          <w:rFonts w:ascii="Calibri" w:hAnsi="Calibri" w:cs="Calibri"/>
        </w:rPr>
      </w:pPr>
      <w:r>
        <w:rPr>
          <w:rFonts w:ascii="Calibri" w:hAnsi="Calibri" w:cs="Calibri"/>
        </w:rPr>
        <w:t xml:space="preserve">This Operating Protocol will be reviewed every 12 months. </w:t>
      </w:r>
    </w:p>
    <w:p w14:paraId="60E8A094" w14:textId="77777777" w:rsidR="00A236CF" w:rsidRDefault="00A236CF" w:rsidP="005479C4">
      <w:pPr>
        <w:jc w:val="both"/>
        <w:rPr>
          <w:rFonts w:ascii="Calibri" w:hAnsi="Calibri" w:cs="Calibri"/>
        </w:rPr>
      </w:pPr>
    </w:p>
    <w:p w14:paraId="5765498C" w14:textId="77777777" w:rsidR="00A236CF" w:rsidRPr="003E4FBE" w:rsidRDefault="00A236CF" w:rsidP="00A51642">
      <w:pPr>
        <w:pStyle w:val="ListParagraph"/>
        <w:numPr>
          <w:ilvl w:val="0"/>
          <w:numId w:val="2"/>
        </w:numPr>
        <w:tabs>
          <w:tab w:val="left" w:pos="426"/>
        </w:tabs>
        <w:ind w:left="284" w:hanging="284"/>
        <w:jc w:val="both"/>
        <w:rPr>
          <w:rFonts w:ascii="Calibri" w:hAnsi="Calibri" w:cs="Calibri"/>
          <w:b/>
          <w:color w:val="008080"/>
        </w:rPr>
      </w:pPr>
      <w:r w:rsidRPr="003E4FBE">
        <w:rPr>
          <w:rFonts w:ascii="Calibri" w:hAnsi="Calibri" w:cs="Calibri"/>
          <w:b/>
          <w:color w:val="008080"/>
        </w:rPr>
        <w:t>Complaints’ Procedure</w:t>
      </w:r>
    </w:p>
    <w:p w14:paraId="63C35C65" w14:textId="77777777" w:rsidR="00A236CF" w:rsidRPr="00A51642" w:rsidRDefault="00A236CF" w:rsidP="00A51642">
      <w:pPr>
        <w:jc w:val="both"/>
        <w:rPr>
          <w:rFonts w:ascii="Calibri" w:hAnsi="Calibri" w:cs="Calibri"/>
        </w:rPr>
      </w:pPr>
    </w:p>
    <w:p w14:paraId="58BC750B" w14:textId="77777777" w:rsidR="003E4FBE" w:rsidRDefault="00A236CF" w:rsidP="008133A7">
      <w:pPr>
        <w:autoSpaceDE w:val="0"/>
        <w:autoSpaceDN w:val="0"/>
        <w:adjustRightInd w:val="0"/>
        <w:jc w:val="both"/>
        <w:rPr>
          <w:rFonts w:ascii="Calibri" w:hAnsi="Calibri" w:cs="Calibri"/>
        </w:rPr>
      </w:pPr>
      <w:r w:rsidRPr="008133A7">
        <w:rPr>
          <w:rFonts w:ascii="Calibri" w:hAnsi="Calibri" w:cs="Calibri"/>
        </w:rPr>
        <w:t>Any complaints against another signatory agency about their THPP acti</w:t>
      </w:r>
      <w:r w:rsidR="003E4FBE">
        <w:rPr>
          <w:rFonts w:ascii="Calibri" w:hAnsi="Calibri" w:cs="Calibri"/>
        </w:rPr>
        <w:t xml:space="preserve">vities should be emailed to Beyond the Streets on </w:t>
      </w:r>
      <w:hyperlink r:id="rId15" w:history="1">
        <w:r w:rsidR="003E4FBE" w:rsidRPr="00A70EA6">
          <w:rPr>
            <w:rStyle w:val="Hyperlink"/>
            <w:rFonts w:ascii="Calibri" w:hAnsi="Calibri" w:cs="Calibri"/>
          </w:rPr>
          <w:t>thpp@beyondthestreets.org.uk</w:t>
        </w:r>
      </w:hyperlink>
    </w:p>
    <w:p w14:paraId="50E3057B" w14:textId="77777777" w:rsidR="00A236CF" w:rsidRPr="008133A7" w:rsidRDefault="00A236CF" w:rsidP="008133A7">
      <w:pPr>
        <w:autoSpaceDE w:val="0"/>
        <w:autoSpaceDN w:val="0"/>
        <w:adjustRightInd w:val="0"/>
        <w:jc w:val="both"/>
        <w:rPr>
          <w:rFonts w:ascii="Calibri" w:hAnsi="Calibri" w:cs="Calibri"/>
        </w:rPr>
      </w:pPr>
      <w:r w:rsidRPr="008133A7">
        <w:rPr>
          <w:rFonts w:ascii="Calibri" w:hAnsi="Calibri" w:cs="Calibri"/>
        </w:rPr>
        <w:t xml:space="preserve"> </w:t>
      </w:r>
    </w:p>
    <w:p w14:paraId="30561B66" w14:textId="77777777" w:rsidR="00A236CF" w:rsidRPr="003E4FBE" w:rsidRDefault="00A236CF" w:rsidP="00331173">
      <w:pPr>
        <w:pStyle w:val="ListParagraph"/>
        <w:numPr>
          <w:ilvl w:val="0"/>
          <w:numId w:val="2"/>
        </w:numPr>
        <w:tabs>
          <w:tab w:val="left" w:pos="284"/>
          <w:tab w:val="left" w:pos="426"/>
        </w:tabs>
        <w:ind w:left="284" w:hanging="284"/>
        <w:jc w:val="both"/>
        <w:rPr>
          <w:rFonts w:ascii="Calibri" w:hAnsi="Calibri" w:cs="Calibri"/>
          <w:b/>
          <w:color w:val="008080"/>
        </w:rPr>
      </w:pPr>
      <w:r w:rsidRPr="003E4FBE">
        <w:rPr>
          <w:rFonts w:ascii="Calibri" w:hAnsi="Calibri" w:cs="Calibri"/>
          <w:b/>
          <w:color w:val="008080"/>
        </w:rPr>
        <w:t>Withdrawing from the Partnership</w:t>
      </w:r>
    </w:p>
    <w:p w14:paraId="7265D81E" w14:textId="77777777" w:rsidR="00A236CF" w:rsidRPr="00331173" w:rsidRDefault="00A236CF" w:rsidP="00331173">
      <w:pPr>
        <w:pStyle w:val="ListParagraph"/>
        <w:tabs>
          <w:tab w:val="left" w:pos="284"/>
          <w:tab w:val="left" w:pos="426"/>
        </w:tabs>
        <w:ind w:left="284"/>
        <w:jc w:val="both"/>
        <w:rPr>
          <w:rFonts w:ascii="Calibri" w:hAnsi="Calibri" w:cs="Calibri"/>
          <w:b/>
        </w:rPr>
      </w:pPr>
    </w:p>
    <w:p w14:paraId="4820DC5A" w14:textId="430CE907" w:rsidR="00A236CF" w:rsidRDefault="00A236CF" w:rsidP="00331173">
      <w:pPr>
        <w:jc w:val="both"/>
        <w:rPr>
          <w:rFonts w:ascii="Calibri" w:hAnsi="Calibri" w:cs="Calibri"/>
        </w:rPr>
      </w:pPr>
      <w:r>
        <w:rPr>
          <w:rFonts w:ascii="Calibri" w:hAnsi="Calibri" w:cs="Calibri"/>
        </w:rPr>
        <w:t xml:space="preserve">Any individual or agency who wishes to withdraw from the Partnership must do so in writing to </w:t>
      </w:r>
      <w:r w:rsidR="003E4FBE">
        <w:rPr>
          <w:rFonts w:ascii="Calibri" w:hAnsi="Calibri" w:cs="Calibri"/>
        </w:rPr>
        <w:t>Beyond the Streets</w:t>
      </w:r>
      <w:r>
        <w:rPr>
          <w:rFonts w:ascii="Calibri" w:hAnsi="Calibri" w:cs="Calibri"/>
        </w:rPr>
        <w:t xml:space="preserve"> </w:t>
      </w:r>
      <w:r w:rsidR="003E4FBE">
        <w:rPr>
          <w:rFonts w:ascii="Calibri" w:hAnsi="Calibri" w:cs="Calibri"/>
        </w:rPr>
        <w:t xml:space="preserve">at </w:t>
      </w:r>
      <w:hyperlink r:id="rId16" w:history="1">
        <w:r w:rsidR="00D55777" w:rsidRPr="00904D88">
          <w:rPr>
            <w:rStyle w:val="Hyperlink"/>
            <w:rFonts w:ascii="Calibri" w:hAnsi="Calibri" w:cs="Calibri"/>
          </w:rPr>
          <w:t>thpp@beyondthestreets.org.uk</w:t>
        </w:r>
      </w:hyperlink>
      <w:r w:rsidR="00D55777">
        <w:rPr>
          <w:rFonts w:ascii="Calibri" w:hAnsi="Calibri" w:cs="Calibri"/>
        </w:rPr>
        <w:t xml:space="preserve"> </w:t>
      </w:r>
      <w:r w:rsidR="003E4FBE" w:rsidRPr="008133A7">
        <w:rPr>
          <w:rFonts w:ascii="Calibri" w:hAnsi="Calibri" w:cs="Calibri"/>
        </w:rPr>
        <w:t xml:space="preserve"> </w:t>
      </w:r>
      <w:r>
        <w:rPr>
          <w:rFonts w:ascii="Calibri" w:hAnsi="Calibri" w:cs="Calibri"/>
        </w:rPr>
        <w:t xml:space="preserve">giving 2 months’ notice. </w:t>
      </w:r>
    </w:p>
    <w:p w14:paraId="794D0D9B" w14:textId="1C8FCB82" w:rsidR="00A236CF" w:rsidRPr="00582275" w:rsidRDefault="00A236CF" w:rsidP="00605E4C">
      <w:pPr>
        <w:rPr>
          <w:rFonts w:ascii="Calibri" w:hAnsi="Calibri" w:cs="Calibri"/>
          <w:b/>
        </w:rPr>
      </w:pPr>
    </w:p>
    <w:sectPr w:rsidR="00A236CF" w:rsidRPr="00582275" w:rsidSect="00A4267A">
      <w:footerReference w:type="default" r:id="rId17"/>
      <w:pgSz w:w="11906" w:h="16838"/>
      <w:pgMar w:top="992"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D8F71" w14:textId="77777777" w:rsidR="007010DC" w:rsidRDefault="007010DC" w:rsidP="00DB51B2">
      <w:r>
        <w:separator/>
      </w:r>
    </w:p>
  </w:endnote>
  <w:endnote w:type="continuationSeparator" w:id="0">
    <w:p w14:paraId="634B1629" w14:textId="77777777" w:rsidR="007010DC" w:rsidRDefault="007010DC" w:rsidP="00DB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628217"/>
      <w:docPartObj>
        <w:docPartGallery w:val="Page Numbers (Bottom of Page)"/>
        <w:docPartUnique/>
      </w:docPartObj>
    </w:sdtPr>
    <w:sdtEndPr>
      <w:rPr>
        <w:rFonts w:asciiTheme="minorHAnsi" w:hAnsiTheme="minorHAnsi" w:cstheme="minorHAnsi"/>
        <w:noProof/>
        <w:color w:val="008080"/>
        <w:sz w:val="22"/>
        <w:szCs w:val="22"/>
      </w:rPr>
    </w:sdtEndPr>
    <w:sdtContent>
      <w:p w14:paraId="232FB771" w14:textId="62446DE8" w:rsidR="00A44715" w:rsidRPr="00A44715" w:rsidRDefault="00A44715">
        <w:pPr>
          <w:pStyle w:val="Footer"/>
          <w:jc w:val="right"/>
          <w:rPr>
            <w:rFonts w:asciiTheme="minorHAnsi" w:hAnsiTheme="minorHAnsi" w:cstheme="minorHAnsi"/>
            <w:color w:val="008080"/>
            <w:sz w:val="22"/>
            <w:szCs w:val="22"/>
          </w:rPr>
        </w:pPr>
        <w:r w:rsidRPr="00A44715">
          <w:rPr>
            <w:rFonts w:asciiTheme="minorHAnsi" w:hAnsiTheme="minorHAnsi" w:cstheme="minorHAnsi"/>
            <w:color w:val="008080"/>
            <w:sz w:val="22"/>
            <w:szCs w:val="22"/>
          </w:rPr>
          <w:fldChar w:fldCharType="begin"/>
        </w:r>
        <w:r w:rsidRPr="00A44715">
          <w:rPr>
            <w:rFonts w:asciiTheme="minorHAnsi" w:hAnsiTheme="minorHAnsi" w:cstheme="minorHAnsi"/>
            <w:color w:val="008080"/>
            <w:sz w:val="22"/>
            <w:szCs w:val="22"/>
          </w:rPr>
          <w:instrText xml:space="preserve"> PAGE   \* MERGEFORMAT </w:instrText>
        </w:r>
        <w:r w:rsidRPr="00A44715">
          <w:rPr>
            <w:rFonts w:asciiTheme="minorHAnsi" w:hAnsiTheme="minorHAnsi" w:cstheme="minorHAnsi"/>
            <w:color w:val="008080"/>
            <w:sz w:val="22"/>
            <w:szCs w:val="22"/>
          </w:rPr>
          <w:fldChar w:fldCharType="separate"/>
        </w:r>
        <w:r w:rsidR="002578D3">
          <w:rPr>
            <w:rFonts w:asciiTheme="minorHAnsi" w:hAnsiTheme="minorHAnsi" w:cstheme="minorHAnsi"/>
            <w:noProof/>
            <w:color w:val="008080"/>
            <w:sz w:val="22"/>
            <w:szCs w:val="22"/>
          </w:rPr>
          <w:t>7</w:t>
        </w:r>
        <w:r w:rsidRPr="00A44715">
          <w:rPr>
            <w:rFonts w:asciiTheme="minorHAnsi" w:hAnsiTheme="minorHAnsi" w:cstheme="minorHAnsi"/>
            <w:noProof/>
            <w:color w:val="008080"/>
            <w:sz w:val="22"/>
            <w:szCs w:val="22"/>
          </w:rPr>
          <w:fldChar w:fldCharType="end"/>
        </w:r>
      </w:p>
    </w:sdtContent>
  </w:sdt>
  <w:sdt>
    <w:sdtPr>
      <w:id w:val="452685739"/>
      <w:docPartObj>
        <w:docPartGallery w:val="Page Numbers (Bottom of Page)"/>
        <w:docPartUnique/>
      </w:docPartObj>
    </w:sdtPr>
    <w:sdtEndPr>
      <w:rPr>
        <w:noProof/>
      </w:rPr>
    </w:sdtEndPr>
    <w:sdtContent>
      <w:p w14:paraId="436FA2D7" w14:textId="77777777" w:rsidR="002578D3" w:rsidRPr="00F52108" w:rsidRDefault="002578D3" w:rsidP="002578D3">
        <w:pPr>
          <w:spacing w:after="40"/>
          <w:jc w:val="center"/>
          <w:rPr>
            <w:rFonts w:cs="Arial"/>
            <w:color w:val="008080"/>
            <w:spacing w:val="10"/>
            <w:sz w:val="16"/>
            <w:szCs w:val="16"/>
            <w:lang w:val="en-US" w:eastAsia="en-US"/>
          </w:rPr>
        </w:pPr>
        <w:r w:rsidRPr="00F52108">
          <w:rPr>
            <w:rFonts w:cs="Arial"/>
            <w:color w:val="008080"/>
            <w:spacing w:val="10"/>
            <w:sz w:val="16"/>
            <w:szCs w:val="16"/>
            <w:lang w:val="en-US" w:eastAsia="en-US"/>
          </w:rPr>
          <w:t xml:space="preserve">Beyond the Streets, Door of Hope project ● doorofhope.org.uk </w:t>
        </w:r>
        <w:r w:rsidRPr="00F52108">
          <w:rPr>
            <w:rFonts w:cs="Arial"/>
            <w:color w:val="008080"/>
            <w:spacing w:val="10"/>
            <w:sz w:val="16"/>
            <w:szCs w:val="16"/>
            <w:lang w:val="en-US" w:eastAsia="en-US"/>
          </w:rPr>
          <w:sym w:font="Wingdings 2" w:char="F097"/>
        </w:r>
        <w:r w:rsidRPr="00A243BB">
          <w:rPr>
            <w:rFonts w:cs="Arial"/>
            <w:color w:val="008080"/>
            <w:spacing w:val="10"/>
            <w:sz w:val="16"/>
            <w:szCs w:val="16"/>
            <w:lang w:val="en-US" w:eastAsia="en-US"/>
          </w:rPr>
          <w:t xml:space="preserve"> 0300 3020762 </w:t>
        </w:r>
        <w:r w:rsidRPr="00F52108">
          <w:rPr>
            <w:rFonts w:cs="Arial"/>
            <w:color w:val="008080"/>
            <w:spacing w:val="10"/>
            <w:sz w:val="16"/>
            <w:szCs w:val="16"/>
            <w:lang w:val="en-US" w:eastAsia="en-US"/>
          </w:rPr>
          <w:t>● thpp@beyondthestreets.org.uk</w:t>
        </w:r>
      </w:p>
      <w:p w14:paraId="2CC6DBD6" w14:textId="433BC5FA" w:rsidR="002578D3" w:rsidRDefault="002578D3" w:rsidP="002578D3">
        <w:pPr>
          <w:tabs>
            <w:tab w:val="center" w:pos="4820"/>
            <w:tab w:val="left" w:pos="6865"/>
          </w:tabs>
          <w:spacing w:before="120" w:after="40"/>
          <w:ind w:right="-590"/>
          <w:jc w:val="center"/>
          <w:rPr>
            <w:rFonts w:cs="Arial"/>
            <w:color w:val="008080"/>
            <w:spacing w:val="10"/>
            <w:sz w:val="16"/>
            <w:szCs w:val="16"/>
            <w:lang w:val="en-US" w:eastAsia="en-US"/>
          </w:rPr>
        </w:pPr>
        <w:r w:rsidRPr="00F52108">
          <w:rPr>
            <w:rFonts w:cs="Arial"/>
            <w:color w:val="008080"/>
            <w:spacing w:val="10"/>
            <w:sz w:val="16"/>
            <w:szCs w:val="16"/>
            <w:lang w:val="en-US" w:eastAsia="en-US"/>
          </w:rPr>
          <w:t xml:space="preserve">Registered charity number </w:t>
        </w:r>
        <w:r w:rsidR="0059698D" w:rsidRPr="0059698D">
          <w:rPr>
            <w:rFonts w:cs="Arial"/>
            <w:color w:val="008080"/>
            <w:spacing w:val="10"/>
            <w:sz w:val="16"/>
            <w:szCs w:val="16"/>
            <w:lang w:val="en-US" w:eastAsia="en-US"/>
          </w:rPr>
          <w:t>1178421</w:t>
        </w:r>
      </w:p>
      <w:p w14:paraId="63EC7064" w14:textId="77777777" w:rsidR="002578D3" w:rsidRDefault="000D7062" w:rsidP="002578D3">
        <w:pPr>
          <w:pStyle w:val="Footer"/>
          <w:jc w:val="center"/>
          <w:rPr>
            <w:noProof/>
          </w:rPr>
        </w:pPr>
      </w:p>
    </w:sdtContent>
  </w:sdt>
  <w:p w14:paraId="1C2FE329" w14:textId="0CFB63C8" w:rsidR="00602FAE" w:rsidRPr="00A91433" w:rsidRDefault="00602FAE" w:rsidP="00A91433">
    <w:pPr>
      <w:tabs>
        <w:tab w:val="center" w:pos="4820"/>
        <w:tab w:val="left" w:pos="6865"/>
      </w:tabs>
      <w:spacing w:before="120" w:after="40"/>
      <w:ind w:left="720" w:right="-590"/>
      <w:rPr>
        <w:rFonts w:cs="Arial"/>
        <w:color w:val="008080"/>
        <w:spacing w:val="10"/>
        <w:sz w:val="16"/>
        <w:szCs w:val="16"/>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6BA78" w14:textId="77777777" w:rsidR="007010DC" w:rsidRDefault="007010DC" w:rsidP="00DB51B2">
      <w:r>
        <w:separator/>
      </w:r>
    </w:p>
  </w:footnote>
  <w:footnote w:type="continuationSeparator" w:id="0">
    <w:p w14:paraId="79384DCF" w14:textId="77777777" w:rsidR="007010DC" w:rsidRDefault="007010DC" w:rsidP="00DB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063F3"/>
    <w:multiLevelType w:val="hybridMultilevel"/>
    <w:tmpl w:val="12AA86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F3A4ABE"/>
    <w:multiLevelType w:val="hybridMultilevel"/>
    <w:tmpl w:val="9D5AF242"/>
    <w:lvl w:ilvl="0" w:tplc="57F0236E">
      <w:start w:val="1"/>
      <w:numFmt w:val="decimal"/>
      <w:lvlText w:val="%1."/>
      <w:lvlJc w:val="left"/>
      <w:pPr>
        <w:ind w:left="720" w:hanging="360"/>
      </w:pPr>
      <w:rPr>
        <w:rFonts w:cs="Times New Roman" w:hint="default"/>
        <w:color w:val="31849B" w:themeColor="accent5" w:themeShade="B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F891310"/>
    <w:multiLevelType w:val="hybridMultilevel"/>
    <w:tmpl w:val="0A5CCC54"/>
    <w:lvl w:ilvl="0" w:tplc="04090001">
      <w:start w:val="1"/>
      <w:numFmt w:val="bullet"/>
      <w:lvlText w:val=""/>
      <w:lvlJc w:val="left"/>
      <w:pPr>
        <w:tabs>
          <w:tab w:val="num" w:pos="720"/>
        </w:tabs>
        <w:ind w:left="720" w:hanging="360"/>
      </w:pPr>
      <w:rPr>
        <w:rFonts w:ascii="Symbol" w:hAnsi="Symbol" w:hint="default"/>
      </w:rPr>
    </w:lvl>
    <w:lvl w:ilvl="1" w:tplc="4190BD26">
      <w:start w:val="5"/>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F4934"/>
    <w:multiLevelType w:val="hybridMultilevel"/>
    <w:tmpl w:val="870A11D6"/>
    <w:lvl w:ilvl="0" w:tplc="0809000F">
      <w:start w:val="3"/>
      <w:numFmt w:val="decimal"/>
      <w:lvlText w:val="%1."/>
      <w:lvlJc w:val="left"/>
      <w:pPr>
        <w:ind w:left="720" w:hanging="360"/>
      </w:pPr>
      <w:rPr>
        <w:rFonts w:cs="Times New Roman" w:hint="default"/>
      </w:rPr>
    </w:lvl>
    <w:lvl w:ilvl="1" w:tplc="BB0C3C5A">
      <w:numFmt w:val="bullet"/>
      <w:lvlText w:val="•"/>
      <w:lvlJc w:val="left"/>
      <w:pPr>
        <w:ind w:left="1440" w:hanging="360"/>
      </w:pPr>
      <w:rPr>
        <w:rFonts w:ascii="Calibri" w:eastAsia="Times New Roman" w:hAnsi="Calibri"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C4F0283"/>
    <w:multiLevelType w:val="hybridMultilevel"/>
    <w:tmpl w:val="2B081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94BC5"/>
    <w:multiLevelType w:val="hybridMultilevel"/>
    <w:tmpl w:val="EED4CB3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56EB401F"/>
    <w:multiLevelType w:val="hybridMultilevel"/>
    <w:tmpl w:val="E13692E4"/>
    <w:lvl w:ilvl="0" w:tplc="C9184890">
      <w:numFmt w:val="bullet"/>
      <w:lvlText w:val=""/>
      <w:lvlJc w:val="left"/>
      <w:pPr>
        <w:ind w:left="360" w:hanging="360"/>
      </w:pPr>
      <w:rPr>
        <w:rFonts w:ascii="Symbol" w:eastAsia="Times New Roman" w:hAnsi="Symbol" w:hint="default"/>
        <w:color w:val="0080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C92D7D"/>
    <w:multiLevelType w:val="hybridMultilevel"/>
    <w:tmpl w:val="F3DE4E8E"/>
    <w:lvl w:ilvl="0" w:tplc="49BC1618">
      <w:start w:val="2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6B1A43"/>
    <w:multiLevelType w:val="hybridMultilevel"/>
    <w:tmpl w:val="CA84A26C"/>
    <w:lvl w:ilvl="0" w:tplc="04090001">
      <w:start w:val="1"/>
      <w:numFmt w:val="bullet"/>
      <w:lvlText w:val=""/>
      <w:lvlJc w:val="left"/>
      <w:pPr>
        <w:tabs>
          <w:tab w:val="num" w:pos="720"/>
        </w:tabs>
        <w:ind w:left="720" w:hanging="360"/>
      </w:pPr>
      <w:rPr>
        <w:rFonts w:ascii="Symbol" w:hAnsi="Symbol" w:hint="default"/>
      </w:rPr>
    </w:lvl>
    <w:lvl w:ilvl="1" w:tplc="2310896E">
      <w:start w:val="6"/>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8B0AE6"/>
    <w:multiLevelType w:val="hybridMultilevel"/>
    <w:tmpl w:val="A148D5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8"/>
  </w:num>
  <w:num w:numId="6">
    <w:abstractNumId w:val="7"/>
  </w:num>
  <w:num w:numId="7">
    <w:abstractNumId w:val="0"/>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95"/>
    <w:rsid w:val="000022AC"/>
    <w:rsid w:val="00012C6E"/>
    <w:rsid w:val="00015ADB"/>
    <w:rsid w:val="0002442B"/>
    <w:rsid w:val="000246B4"/>
    <w:rsid w:val="000351E9"/>
    <w:rsid w:val="000452F1"/>
    <w:rsid w:val="0005103C"/>
    <w:rsid w:val="00061C2B"/>
    <w:rsid w:val="000726F0"/>
    <w:rsid w:val="00083BF4"/>
    <w:rsid w:val="00086B20"/>
    <w:rsid w:val="00097C37"/>
    <w:rsid w:val="000A0432"/>
    <w:rsid w:val="000B78A8"/>
    <w:rsid w:val="000C339F"/>
    <w:rsid w:val="000C35C4"/>
    <w:rsid w:val="000D7062"/>
    <w:rsid w:val="000E0CDA"/>
    <w:rsid w:val="000F07BB"/>
    <w:rsid w:val="000F1F4B"/>
    <w:rsid w:val="000F617A"/>
    <w:rsid w:val="00107092"/>
    <w:rsid w:val="001176CA"/>
    <w:rsid w:val="00131541"/>
    <w:rsid w:val="00140DE9"/>
    <w:rsid w:val="0015476A"/>
    <w:rsid w:val="00161D5F"/>
    <w:rsid w:val="00171582"/>
    <w:rsid w:val="00176EB3"/>
    <w:rsid w:val="00183D76"/>
    <w:rsid w:val="00184024"/>
    <w:rsid w:val="001B4DB6"/>
    <w:rsid w:val="001C14C0"/>
    <w:rsid w:val="001C7FDA"/>
    <w:rsid w:val="00200840"/>
    <w:rsid w:val="00206A3B"/>
    <w:rsid w:val="00222AF5"/>
    <w:rsid w:val="002267B7"/>
    <w:rsid w:val="00230627"/>
    <w:rsid w:val="00231737"/>
    <w:rsid w:val="002578D3"/>
    <w:rsid w:val="002610ED"/>
    <w:rsid w:val="00281851"/>
    <w:rsid w:val="00284F1C"/>
    <w:rsid w:val="00286AEA"/>
    <w:rsid w:val="00286E1A"/>
    <w:rsid w:val="002C4213"/>
    <w:rsid w:val="002D270E"/>
    <w:rsid w:val="002E06B7"/>
    <w:rsid w:val="00303BB3"/>
    <w:rsid w:val="00316ED2"/>
    <w:rsid w:val="00326B79"/>
    <w:rsid w:val="00331173"/>
    <w:rsid w:val="0033693C"/>
    <w:rsid w:val="00336BF6"/>
    <w:rsid w:val="00373DCA"/>
    <w:rsid w:val="00381F41"/>
    <w:rsid w:val="003861E2"/>
    <w:rsid w:val="0039129D"/>
    <w:rsid w:val="003A15E8"/>
    <w:rsid w:val="003B0940"/>
    <w:rsid w:val="003C234A"/>
    <w:rsid w:val="003C7614"/>
    <w:rsid w:val="003D437F"/>
    <w:rsid w:val="003E4FBE"/>
    <w:rsid w:val="003F1E95"/>
    <w:rsid w:val="003F3709"/>
    <w:rsid w:val="00420FC9"/>
    <w:rsid w:val="0043262B"/>
    <w:rsid w:val="004439E3"/>
    <w:rsid w:val="0046471F"/>
    <w:rsid w:val="0047764F"/>
    <w:rsid w:val="00481CB2"/>
    <w:rsid w:val="00491619"/>
    <w:rsid w:val="004C3BA5"/>
    <w:rsid w:val="004C48AC"/>
    <w:rsid w:val="004D632D"/>
    <w:rsid w:val="004D69E4"/>
    <w:rsid w:val="004E52B0"/>
    <w:rsid w:val="004F0E72"/>
    <w:rsid w:val="004F512E"/>
    <w:rsid w:val="005142DA"/>
    <w:rsid w:val="00523C0E"/>
    <w:rsid w:val="00533607"/>
    <w:rsid w:val="005479C4"/>
    <w:rsid w:val="00550426"/>
    <w:rsid w:val="00572ED5"/>
    <w:rsid w:val="00582275"/>
    <w:rsid w:val="00594F6A"/>
    <w:rsid w:val="0059698D"/>
    <w:rsid w:val="005B6360"/>
    <w:rsid w:val="005C0DFD"/>
    <w:rsid w:val="005D0B8A"/>
    <w:rsid w:val="005E08F1"/>
    <w:rsid w:val="005E47B2"/>
    <w:rsid w:val="00602FAE"/>
    <w:rsid w:val="006057B1"/>
    <w:rsid w:val="00605E4C"/>
    <w:rsid w:val="00610DE6"/>
    <w:rsid w:val="00632E87"/>
    <w:rsid w:val="00635A05"/>
    <w:rsid w:val="00646A1A"/>
    <w:rsid w:val="00651772"/>
    <w:rsid w:val="006622B7"/>
    <w:rsid w:val="00670415"/>
    <w:rsid w:val="0068068E"/>
    <w:rsid w:val="00682D26"/>
    <w:rsid w:val="006A06BF"/>
    <w:rsid w:val="006A2F5D"/>
    <w:rsid w:val="006A43F1"/>
    <w:rsid w:val="006B00A4"/>
    <w:rsid w:val="006C3737"/>
    <w:rsid w:val="006D01FB"/>
    <w:rsid w:val="006D5620"/>
    <w:rsid w:val="006E19A5"/>
    <w:rsid w:val="006E48A1"/>
    <w:rsid w:val="006F0650"/>
    <w:rsid w:val="007010DC"/>
    <w:rsid w:val="00714904"/>
    <w:rsid w:val="00725419"/>
    <w:rsid w:val="00736B86"/>
    <w:rsid w:val="00795449"/>
    <w:rsid w:val="007C0A1E"/>
    <w:rsid w:val="00801FC2"/>
    <w:rsid w:val="00810D7D"/>
    <w:rsid w:val="008133A7"/>
    <w:rsid w:val="008159FE"/>
    <w:rsid w:val="0082016F"/>
    <w:rsid w:val="00820757"/>
    <w:rsid w:val="00820CC2"/>
    <w:rsid w:val="008365E8"/>
    <w:rsid w:val="00857665"/>
    <w:rsid w:val="008671AD"/>
    <w:rsid w:val="008745F2"/>
    <w:rsid w:val="00874D2E"/>
    <w:rsid w:val="0088168E"/>
    <w:rsid w:val="00890ED0"/>
    <w:rsid w:val="008A717B"/>
    <w:rsid w:val="008B42D3"/>
    <w:rsid w:val="008D0FDF"/>
    <w:rsid w:val="00910DCE"/>
    <w:rsid w:val="00911D61"/>
    <w:rsid w:val="00936012"/>
    <w:rsid w:val="00960FC4"/>
    <w:rsid w:val="00966F90"/>
    <w:rsid w:val="0096701A"/>
    <w:rsid w:val="00971054"/>
    <w:rsid w:val="0097509C"/>
    <w:rsid w:val="0097714F"/>
    <w:rsid w:val="00977890"/>
    <w:rsid w:val="009C5AC2"/>
    <w:rsid w:val="009C5CA1"/>
    <w:rsid w:val="009C7C1F"/>
    <w:rsid w:val="009E1DEF"/>
    <w:rsid w:val="009E7D91"/>
    <w:rsid w:val="009F5A55"/>
    <w:rsid w:val="009F7197"/>
    <w:rsid w:val="00A044E0"/>
    <w:rsid w:val="00A175B7"/>
    <w:rsid w:val="00A236CF"/>
    <w:rsid w:val="00A26659"/>
    <w:rsid w:val="00A4267A"/>
    <w:rsid w:val="00A44715"/>
    <w:rsid w:val="00A50932"/>
    <w:rsid w:val="00A51642"/>
    <w:rsid w:val="00A6712E"/>
    <w:rsid w:val="00A817F3"/>
    <w:rsid w:val="00A86630"/>
    <w:rsid w:val="00A91433"/>
    <w:rsid w:val="00AB6B99"/>
    <w:rsid w:val="00AC066D"/>
    <w:rsid w:val="00AC2A77"/>
    <w:rsid w:val="00AE44D9"/>
    <w:rsid w:val="00B00E5D"/>
    <w:rsid w:val="00B12F0E"/>
    <w:rsid w:val="00B21FFD"/>
    <w:rsid w:val="00B3392E"/>
    <w:rsid w:val="00B45208"/>
    <w:rsid w:val="00B516E2"/>
    <w:rsid w:val="00B56495"/>
    <w:rsid w:val="00BA299D"/>
    <w:rsid w:val="00BA4A96"/>
    <w:rsid w:val="00BC104A"/>
    <w:rsid w:val="00BC2E58"/>
    <w:rsid w:val="00BC6932"/>
    <w:rsid w:val="00BD05BF"/>
    <w:rsid w:val="00BE09C0"/>
    <w:rsid w:val="00BF59AE"/>
    <w:rsid w:val="00C14850"/>
    <w:rsid w:val="00C402B1"/>
    <w:rsid w:val="00C479AD"/>
    <w:rsid w:val="00C554A1"/>
    <w:rsid w:val="00C60B09"/>
    <w:rsid w:val="00C94898"/>
    <w:rsid w:val="00CA4102"/>
    <w:rsid w:val="00CB634F"/>
    <w:rsid w:val="00CE221F"/>
    <w:rsid w:val="00D03E86"/>
    <w:rsid w:val="00D2055A"/>
    <w:rsid w:val="00D23625"/>
    <w:rsid w:val="00D27DEC"/>
    <w:rsid w:val="00D40A1D"/>
    <w:rsid w:val="00D55777"/>
    <w:rsid w:val="00D65237"/>
    <w:rsid w:val="00DB51B2"/>
    <w:rsid w:val="00DC096E"/>
    <w:rsid w:val="00DC0A61"/>
    <w:rsid w:val="00DC2BEE"/>
    <w:rsid w:val="00DD397A"/>
    <w:rsid w:val="00DF479E"/>
    <w:rsid w:val="00E14095"/>
    <w:rsid w:val="00E412C9"/>
    <w:rsid w:val="00E66438"/>
    <w:rsid w:val="00E80055"/>
    <w:rsid w:val="00E87C76"/>
    <w:rsid w:val="00E90111"/>
    <w:rsid w:val="00EA0269"/>
    <w:rsid w:val="00EA0FA5"/>
    <w:rsid w:val="00EB1FE0"/>
    <w:rsid w:val="00EC1298"/>
    <w:rsid w:val="00EC31C3"/>
    <w:rsid w:val="00ED308E"/>
    <w:rsid w:val="00F05BC1"/>
    <w:rsid w:val="00F05FF5"/>
    <w:rsid w:val="00F17333"/>
    <w:rsid w:val="00F177A8"/>
    <w:rsid w:val="00F26313"/>
    <w:rsid w:val="00F31FB7"/>
    <w:rsid w:val="00F37FCD"/>
    <w:rsid w:val="00F51508"/>
    <w:rsid w:val="00F524A2"/>
    <w:rsid w:val="00F537A6"/>
    <w:rsid w:val="00F569DA"/>
    <w:rsid w:val="00F64618"/>
    <w:rsid w:val="00F66AC3"/>
    <w:rsid w:val="00F93C28"/>
    <w:rsid w:val="00FB35B3"/>
    <w:rsid w:val="00FC1320"/>
    <w:rsid w:val="00FD135C"/>
    <w:rsid w:val="00FD463F"/>
    <w:rsid w:val="00FD6479"/>
    <w:rsid w:val="00FF3E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CBB9B6"/>
  <w15:docId w15:val="{347B668C-EFEF-4C14-8024-7A3B030D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6B4"/>
    <w:rPr>
      <w:rFonts w:ascii="Arial" w:hAnsi="Arial"/>
      <w:sz w:val="24"/>
      <w:szCs w:val="24"/>
    </w:rPr>
  </w:style>
  <w:style w:type="paragraph" w:styleId="Heading3">
    <w:name w:val="heading 3"/>
    <w:basedOn w:val="Normal"/>
    <w:link w:val="Heading3Char"/>
    <w:uiPriority w:val="99"/>
    <w:qFormat/>
    <w:rsid w:val="00230627"/>
    <w:pPr>
      <w:spacing w:before="240" w:after="120"/>
      <w:outlineLvl w:val="2"/>
    </w:pPr>
    <w:rPr>
      <w:rFonts w:cs="Arial"/>
      <w:b/>
      <w:bCs/>
      <w:color w:val="66666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30627"/>
    <w:rPr>
      <w:rFonts w:ascii="Arial" w:hAnsi="Arial" w:cs="Arial"/>
      <w:b/>
      <w:bCs/>
      <w:color w:val="666666"/>
      <w:sz w:val="29"/>
      <w:szCs w:val="29"/>
    </w:rPr>
  </w:style>
  <w:style w:type="paragraph" w:styleId="NoSpacing">
    <w:name w:val="No Spacing"/>
    <w:link w:val="NoSpacingChar"/>
    <w:uiPriority w:val="99"/>
    <w:qFormat/>
    <w:rsid w:val="00E14095"/>
    <w:rPr>
      <w:rFonts w:ascii="Calibri" w:hAnsi="Calibri"/>
      <w:lang w:val="en-US" w:eastAsia="ja-JP"/>
    </w:rPr>
  </w:style>
  <w:style w:type="character" w:customStyle="1" w:styleId="NoSpacingChar">
    <w:name w:val="No Spacing Char"/>
    <w:basedOn w:val="DefaultParagraphFont"/>
    <w:link w:val="NoSpacing"/>
    <w:uiPriority w:val="99"/>
    <w:locked/>
    <w:rsid w:val="00E14095"/>
    <w:rPr>
      <w:rFonts w:ascii="Calibri" w:hAnsi="Calibri" w:cs="Times New Roman"/>
      <w:sz w:val="22"/>
      <w:szCs w:val="22"/>
      <w:lang w:val="en-US" w:eastAsia="ja-JP" w:bidi="ar-SA"/>
    </w:rPr>
  </w:style>
  <w:style w:type="paragraph" w:styleId="BalloonText">
    <w:name w:val="Balloon Text"/>
    <w:basedOn w:val="Normal"/>
    <w:link w:val="BalloonTextChar"/>
    <w:uiPriority w:val="99"/>
    <w:rsid w:val="00E14095"/>
    <w:rPr>
      <w:rFonts w:ascii="Tahoma" w:hAnsi="Tahoma" w:cs="Tahoma"/>
      <w:sz w:val="16"/>
      <w:szCs w:val="16"/>
    </w:rPr>
  </w:style>
  <w:style w:type="character" w:customStyle="1" w:styleId="BalloonTextChar">
    <w:name w:val="Balloon Text Char"/>
    <w:basedOn w:val="DefaultParagraphFont"/>
    <w:link w:val="BalloonText"/>
    <w:uiPriority w:val="99"/>
    <w:locked/>
    <w:rsid w:val="00E14095"/>
    <w:rPr>
      <w:rFonts w:ascii="Tahoma" w:hAnsi="Tahoma" w:cs="Tahoma"/>
      <w:sz w:val="16"/>
      <w:szCs w:val="16"/>
    </w:rPr>
  </w:style>
  <w:style w:type="paragraph" w:styleId="ListParagraph">
    <w:name w:val="List Paragraph"/>
    <w:basedOn w:val="Normal"/>
    <w:uiPriority w:val="99"/>
    <w:qFormat/>
    <w:rsid w:val="00E14095"/>
    <w:pPr>
      <w:ind w:left="720"/>
      <w:contextualSpacing/>
    </w:pPr>
  </w:style>
  <w:style w:type="paragraph" w:styleId="Header">
    <w:name w:val="header"/>
    <w:basedOn w:val="Normal"/>
    <w:link w:val="HeaderChar"/>
    <w:uiPriority w:val="99"/>
    <w:rsid w:val="00DB51B2"/>
    <w:pPr>
      <w:tabs>
        <w:tab w:val="center" w:pos="4513"/>
        <w:tab w:val="right" w:pos="9026"/>
      </w:tabs>
    </w:pPr>
  </w:style>
  <w:style w:type="character" w:customStyle="1" w:styleId="HeaderChar">
    <w:name w:val="Header Char"/>
    <w:basedOn w:val="DefaultParagraphFont"/>
    <w:link w:val="Header"/>
    <w:uiPriority w:val="99"/>
    <w:locked/>
    <w:rsid w:val="00DB51B2"/>
    <w:rPr>
      <w:rFonts w:ascii="Arial" w:hAnsi="Arial" w:cs="Times New Roman"/>
      <w:sz w:val="24"/>
      <w:szCs w:val="24"/>
    </w:rPr>
  </w:style>
  <w:style w:type="paragraph" w:styleId="Footer">
    <w:name w:val="footer"/>
    <w:basedOn w:val="Normal"/>
    <w:link w:val="FooterChar"/>
    <w:uiPriority w:val="99"/>
    <w:rsid w:val="00DB51B2"/>
    <w:pPr>
      <w:tabs>
        <w:tab w:val="center" w:pos="4513"/>
        <w:tab w:val="right" w:pos="9026"/>
      </w:tabs>
    </w:pPr>
  </w:style>
  <w:style w:type="character" w:customStyle="1" w:styleId="FooterChar">
    <w:name w:val="Footer Char"/>
    <w:basedOn w:val="DefaultParagraphFont"/>
    <w:link w:val="Footer"/>
    <w:uiPriority w:val="99"/>
    <w:locked/>
    <w:rsid w:val="00DB51B2"/>
    <w:rPr>
      <w:rFonts w:ascii="Arial" w:hAnsi="Arial" w:cs="Times New Roman"/>
      <w:sz w:val="24"/>
      <w:szCs w:val="24"/>
    </w:rPr>
  </w:style>
  <w:style w:type="table" w:styleId="TableGrid">
    <w:name w:val="Table Grid"/>
    <w:basedOn w:val="TableNormal"/>
    <w:uiPriority w:val="99"/>
    <w:rsid w:val="00FC13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A2F5D"/>
    <w:pPr>
      <w:spacing w:before="75" w:after="75"/>
    </w:pPr>
    <w:rPr>
      <w:rFonts w:ascii="Times New Roman" w:hAnsi="Times New Roman"/>
    </w:rPr>
  </w:style>
  <w:style w:type="character" w:styleId="Hyperlink">
    <w:name w:val="Hyperlink"/>
    <w:basedOn w:val="DefaultParagraphFont"/>
    <w:uiPriority w:val="99"/>
    <w:rsid w:val="00230627"/>
    <w:rPr>
      <w:rFonts w:cs="Times New Roman"/>
      <w:color w:val="0000FF"/>
      <w:u w:val="single"/>
    </w:rPr>
  </w:style>
  <w:style w:type="character" w:styleId="FollowedHyperlink">
    <w:name w:val="FollowedHyperlink"/>
    <w:basedOn w:val="DefaultParagraphFont"/>
    <w:uiPriority w:val="99"/>
    <w:semiHidden/>
    <w:unhideWhenUsed/>
    <w:rsid w:val="004D69E4"/>
    <w:rPr>
      <w:color w:val="800080" w:themeColor="followedHyperlink"/>
      <w:u w:val="single"/>
    </w:rPr>
  </w:style>
  <w:style w:type="character" w:customStyle="1" w:styleId="UnresolvedMention1">
    <w:name w:val="Unresolved Mention1"/>
    <w:basedOn w:val="DefaultParagraphFont"/>
    <w:uiPriority w:val="99"/>
    <w:semiHidden/>
    <w:unhideWhenUsed/>
    <w:rsid w:val="003E4FBE"/>
    <w:rPr>
      <w:color w:val="808080"/>
      <w:shd w:val="clear" w:color="auto" w:fill="E6E6E6"/>
    </w:rPr>
  </w:style>
  <w:style w:type="character" w:styleId="CommentReference">
    <w:name w:val="annotation reference"/>
    <w:basedOn w:val="DefaultParagraphFont"/>
    <w:uiPriority w:val="99"/>
    <w:semiHidden/>
    <w:unhideWhenUsed/>
    <w:rsid w:val="003C7614"/>
    <w:rPr>
      <w:sz w:val="18"/>
      <w:szCs w:val="18"/>
    </w:rPr>
  </w:style>
  <w:style w:type="paragraph" w:styleId="CommentText">
    <w:name w:val="annotation text"/>
    <w:basedOn w:val="Normal"/>
    <w:link w:val="CommentTextChar"/>
    <w:uiPriority w:val="99"/>
    <w:semiHidden/>
    <w:unhideWhenUsed/>
    <w:rsid w:val="003C7614"/>
  </w:style>
  <w:style w:type="character" w:customStyle="1" w:styleId="CommentTextChar">
    <w:name w:val="Comment Text Char"/>
    <w:basedOn w:val="DefaultParagraphFont"/>
    <w:link w:val="CommentText"/>
    <w:uiPriority w:val="99"/>
    <w:semiHidden/>
    <w:rsid w:val="003C7614"/>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3C7614"/>
    <w:rPr>
      <w:b/>
      <w:bCs/>
      <w:sz w:val="20"/>
      <w:szCs w:val="20"/>
    </w:rPr>
  </w:style>
  <w:style w:type="character" w:customStyle="1" w:styleId="CommentSubjectChar">
    <w:name w:val="Comment Subject Char"/>
    <w:basedOn w:val="CommentTextChar"/>
    <w:link w:val="CommentSubject"/>
    <w:uiPriority w:val="99"/>
    <w:semiHidden/>
    <w:rsid w:val="003C7614"/>
    <w:rPr>
      <w:rFonts w:ascii="Arial" w:hAnsi="Arial"/>
      <w:b/>
      <w:bCs/>
      <w:sz w:val="20"/>
      <w:szCs w:val="20"/>
    </w:rPr>
  </w:style>
  <w:style w:type="character" w:styleId="UnresolvedMention">
    <w:name w:val="Unresolved Mention"/>
    <w:basedOn w:val="DefaultParagraphFont"/>
    <w:uiPriority w:val="99"/>
    <w:semiHidden/>
    <w:unhideWhenUsed/>
    <w:rsid w:val="00D557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632852">
      <w:marLeft w:val="0"/>
      <w:marRight w:val="0"/>
      <w:marTop w:val="0"/>
      <w:marBottom w:val="0"/>
      <w:divBdr>
        <w:top w:val="none" w:sz="0" w:space="0" w:color="auto"/>
        <w:left w:val="none" w:sz="0" w:space="0" w:color="auto"/>
        <w:bottom w:val="none" w:sz="0" w:space="0" w:color="auto"/>
        <w:right w:val="none" w:sz="0" w:space="0" w:color="auto"/>
      </w:divBdr>
    </w:div>
    <w:div w:id="1328632856">
      <w:marLeft w:val="0"/>
      <w:marRight w:val="0"/>
      <w:marTop w:val="0"/>
      <w:marBottom w:val="0"/>
      <w:divBdr>
        <w:top w:val="none" w:sz="0" w:space="0" w:color="auto"/>
        <w:left w:val="none" w:sz="0" w:space="0" w:color="auto"/>
        <w:bottom w:val="none" w:sz="0" w:space="0" w:color="auto"/>
        <w:right w:val="none" w:sz="0" w:space="0" w:color="auto"/>
      </w:divBdr>
    </w:div>
    <w:div w:id="1328632859">
      <w:marLeft w:val="0"/>
      <w:marRight w:val="0"/>
      <w:marTop w:val="0"/>
      <w:marBottom w:val="0"/>
      <w:divBdr>
        <w:top w:val="none" w:sz="0" w:space="0" w:color="auto"/>
        <w:left w:val="none" w:sz="0" w:space="0" w:color="auto"/>
        <w:bottom w:val="none" w:sz="0" w:space="0" w:color="auto"/>
        <w:right w:val="none" w:sz="0" w:space="0" w:color="auto"/>
      </w:divBdr>
      <w:divsChild>
        <w:div w:id="1328632866">
          <w:marLeft w:val="0"/>
          <w:marRight w:val="0"/>
          <w:marTop w:val="0"/>
          <w:marBottom w:val="0"/>
          <w:divBdr>
            <w:top w:val="none" w:sz="0" w:space="0" w:color="auto"/>
            <w:left w:val="none" w:sz="0" w:space="0" w:color="auto"/>
            <w:bottom w:val="none" w:sz="0" w:space="0" w:color="auto"/>
            <w:right w:val="none" w:sz="0" w:space="0" w:color="auto"/>
          </w:divBdr>
          <w:divsChild>
            <w:div w:id="1328632865">
              <w:marLeft w:val="0"/>
              <w:marRight w:val="0"/>
              <w:marTop w:val="0"/>
              <w:marBottom w:val="0"/>
              <w:divBdr>
                <w:top w:val="none" w:sz="0" w:space="0" w:color="auto"/>
                <w:left w:val="none" w:sz="0" w:space="0" w:color="auto"/>
                <w:bottom w:val="none" w:sz="0" w:space="0" w:color="auto"/>
                <w:right w:val="none" w:sz="0" w:space="0" w:color="auto"/>
              </w:divBdr>
              <w:divsChild>
                <w:div w:id="1328632850">
                  <w:marLeft w:val="0"/>
                  <w:marRight w:val="0"/>
                  <w:marTop w:val="0"/>
                  <w:marBottom w:val="0"/>
                  <w:divBdr>
                    <w:top w:val="none" w:sz="0" w:space="0" w:color="auto"/>
                    <w:left w:val="none" w:sz="0" w:space="0" w:color="auto"/>
                    <w:bottom w:val="none" w:sz="0" w:space="0" w:color="auto"/>
                    <w:right w:val="none" w:sz="0" w:space="0" w:color="auto"/>
                  </w:divBdr>
                  <w:divsChild>
                    <w:div w:id="1328632855">
                      <w:marLeft w:val="0"/>
                      <w:marRight w:val="0"/>
                      <w:marTop w:val="0"/>
                      <w:marBottom w:val="0"/>
                      <w:divBdr>
                        <w:top w:val="none" w:sz="0" w:space="0" w:color="auto"/>
                        <w:left w:val="none" w:sz="0" w:space="0" w:color="auto"/>
                        <w:bottom w:val="none" w:sz="0" w:space="0" w:color="auto"/>
                        <w:right w:val="none" w:sz="0" w:space="0" w:color="auto"/>
                      </w:divBdr>
                      <w:divsChild>
                        <w:div w:id="1328632858">
                          <w:marLeft w:val="0"/>
                          <w:marRight w:val="0"/>
                          <w:marTop w:val="0"/>
                          <w:marBottom w:val="0"/>
                          <w:divBdr>
                            <w:top w:val="none" w:sz="0" w:space="0" w:color="auto"/>
                            <w:left w:val="none" w:sz="0" w:space="0" w:color="auto"/>
                            <w:bottom w:val="none" w:sz="0" w:space="0" w:color="auto"/>
                            <w:right w:val="none" w:sz="0" w:space="0" w:color="auto"/>
                          </w:divBdr>
                          <w:divsChild>
                            <w:div w:id="1328632854">
                              <w:marLeft w:val="0"/>
                              <w:marRight w:val="0"/>
                              <w:marTop w:val="0"/>
                              <w:marBottom w:val="0"/>
                              <w:divBdr>
                                <w:top w:val="none" w:sz="0" w:space="0" w:color="auto"/>
                                <w:left w:val="none" w:sz="0" w:space="0" w:color="auto"/>
                                <w:bottom w:val="none" w:sz="0" w:space="0" w:color="auto"/>
                                <w:right w:val="none" w:sz="0" w:space="0" w:color="auto"/>
                              </w:divBdr>
                              <w:divsChild>
                                <w:div w:id="13286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2860">
      <w:marLeft w:val="0"/>
      <w:marRight w:val="0"/>
      <w:marTop w:val="0"/>
      <w:marBottom w:val="0"/>
      <w:divBdr>
        <w:top w:val="none" w:sz="0" w:space="0" w:color="auto"/>
        <w:left w:val="none" w:sz="0" w:space="0" w:color="auto"/>
        <w:bottom w:val="none" w:sz="0" w:space="0" w:color="auto"/>
        <w:right w:val="none" w:sz="0" w:space="0" w:color="auto"/>
      </w:divBdr>
      <w:divsChild>
        <w:div w:id="1328632861">
          <w:marLeft w:val="0"/>
          <w:marRight w:val="0"/>
          <w:marTop w:val="0"/>
          <w:marBottom w:val="0"/>
          <w:divBdr>
            <w:top w:val="none" w:sz="0" w:space="0" w:color="auto"/>
            <w:left w:val="none" w:sz="0" w:space="0" w:color="auto"/>
            <w:bottom w:val="none" w:sz="0" w:space="0" w:color="auto"/>
            <w:right w:val="none" w:sz="0" w:space="0" w:color="auto"/>
          </w:divBdr>
          <w:divsChild>
            <w:div w:id="1328632853">
              <w:marLeft w:val="0"/>
              <w:marRight w:val="0"/>
              <w:marTop w:val="0"/>
              <w:marBottom w:val="0"/>
              <w:divBdr>
                <w:top w:val="none" w:sz="0" w:space="0" w:color="auto"/>
                <w:left w:val="none" w:sz="0" w:space="0" w:color="auto"/>
                <w:bottom w:val="none" w:sz="0" w:space="0" w:color="auto"/>
                <w:right w:val="none" w:sz="0" w:space="0" w:color="auto"/>
              </w:divBdr>
              <w:divsChild>
                <w:div w:id="1328632863">
                  <w:marLeft w:val="0"/>
                  <w:marRight w:val="0"/>
                  <w:marTop w:val="0"/>
                  <w:marBottom w:val="0"/>
                  <w:divBdr>
                    <w:top w:val="none" w:sz="0" w:space="0" w:color="auto"/>
                    <w:left w:val="none" w:sz="0" w:space="0" w:color="auto"/>
                    <w:bottom w:val="none" w:sz="0" w:space="0" w:color="auto"/>
                    <w:right w:val="none" w:sz="0" w:space="0" w:color="auto"/>
                  </w:divBdr>
                  <w:divsChild>
                    <w:div w:id="1328632862">
                      <w:marLeft w:val="150"/>
                      <w:marRight w:val="150"/>
                      <w:marTop w:val="0"/>
                      <w:marBottom w:val="0"/>
                      <w:divBdr>
                        <w:top w:val="none" w:sz="0" w:space="0" w:color="auto"/>
                        <w:left w:val="none" w:sz="0" w:space="0" w:color="auto"/>
                        <w:bottom w:val="none" w:sz="0" w:space="0" w:color="auto"/>
                        <w:right w:val="none" w:sz="0" w:space="0" w:color="auto"/>
                      </w:divBdr>
                      <w:divsChild>
                        <w:div w:id="1328632851">
                          <w:marLeft w:val="0"/>
                          <w:marRight w:val="0"/>
                          <w:marTop w:val="0"/>
                          <w:marBottom w:val="0"/>
                          <w:divBdr>
                            <w:top w:val="none" w:sz="0" w:space="0" w:color="auto"/>
                            <w:left w:val="none" w:sz="0" w:space="0" w:color="auto"/>
                            <w:bottom w:val="none" w:sz="0" w:space="0" w:color="auto"/>
                            <w:right w:val="none" w:sz="0" w:space="0" w:color="auto"/>
                          </w:divBdr>
                          <w:divsChild>
                            <w:div w:id="13286328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632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hpp@beyondthestreet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hpp@beyondthestreets.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pp@beyondthestree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0841A83F4DF2408F4DA8AC93776301" ma:contentTypeVersion="14" ma:contentTypeDescription="Create a new document." ma:contentTypeScope="" ma:versionID="a3a4d1ca79deee792ac86feaafe75067">
  <xsd:schema xmlns:xsd="http://www.w3.org/2001/XMLSchema" xmlns:xs="http://www.w3.org/2001/XMLSchema" xmlns:p="http://schemas.microsoft.com/office/2006/metadata/properties" xmlns:ns3="c57c9d24-3567-4448-95e2-3d791ec66564" xmlns:ns4="8c59ccb9-228b-45f8-97e4-5c9564557bca" targetNamespace="http://schemas.microsoft.com/office/2006/metadata/properties" ma:root="true" ma:fieldsID="18a4e73de0e5e82a5435c31ad83e1919" ns3:_="" ns4:_="">
    <xsd:import namespace="c57c9d24-3567-4448-95e2-3d791ec66564"/>
    <xsd:import namespace="8c59ccb9-228b-45f8-97e4-5c9564557bca"/>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c9d24-3567-4448-95e2-3d791ec66564" elementFormDefault="qualified">
    <xsd:import namespace="http://schemas.microsoft.com/office/2006/documentManagement/types"/>
    <xsd:import namespace="http://schemas.microsoft.com/office/infopath/2007/PartnerControls"/>
    <xsd:element name="SharedWithUsers" ma:index="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9ccb9-228b-45f8-97e4-5c9564557bca"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00CE5-0F39-4070-8471-A507C1B03C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53D7AE-04F2-46B8-B09D-D598B709D99D}">
  <ds:schemaRefs>
    <ds:schemaRef ds:uri="http://schemas.microsoft.com/sharepoint/v3/contenttype/forms"/>
  </ds:schemaRefs>
</ds:datastoreItem>
</file>

<file path=customXml/itemProps3.xml><?xml version="1.0" encoding="utf-8"?>
<ds:datastoreItem xmlns:ds="http://schemas.openxmlformats.org/officeDocument/2006/customXml" ds:itemID="{E7C3C9B1-9231-41A1-8995-64C5AF5CE268}"/>
</file>

<file path=customXml/itemProps4.xml><?xml version="1.0" encoding="utf-8"?>
<ds:datastoreItem xmlns:ds="http://schemas.openxmlformats.org/officeDocument/2006/customXml" ds:itemID="{FC8D69CA-2551-484E-BC5D-5159DF40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1967</Words>
  <Characters>10682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Dwyer</dc:creator>
  <cp:lastModifiedBy>Sarah Boak</cp:lastModifiedBy>
  <cp:revision>2</cp:revision>
  <cp:lastPrinted>2017-10-19T13:13:00Z</cp:lastPrinted>
  <dcterms:created xsi:type="dcterms:W3CDTF">2021-02-04T11:35:00Z</dcterms:created>
  <dcterms:modified xsi:type="dcterms:W3CDTF">2021-02-04T11:35:00Z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0x0101007B0841A83F4DF2408F4DA8AC93776301</vt:lpwstr>
  </property>
</Properties>
</file>